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E6B" w:rsidRPr="00214D5E" w:rsidRDefault="00E13E6B" w:rsidP="00531D1E">
      <w:pPr>
        <w:ind w:left="2835" w:right="1843" w:hanging="992"/>
        <w:jc w:val="both"/>
        <w:rPr>
          <w:rFonts w:ascii="Tahoma" w:hAnsi="Tahoma" w:cs="Tahoma"/>
          <w:i/>
          <w:sz w:val="16"/>
          <w:szCs w:val="16"/>
        </w:rPr>
      </w:pPr>
      <w:r w:rsidRPr="00214D5E">
        <w:rPr>
          <w:rFonts w:ascii="Tahoma" w:hAnsi="Tahoma" w:cs="Tahoma"/>
          <w:b/>
          <w:i/>
          <w:sz w:val="16"/>
          <w:szCs w:val="16"/>
        </w:rPr>
        <w:t xml:space="preserve">Sumilla: </w:t>
      </w:r>
      <w:r w:rsidR="00214D5E">
        <w:rPr>
          <w:rFonts w:ascii="Tahoma" w:hAnsi="Tahoma" w:cs="Tahoma"/>
          <w:b/>
          <w:i/>
          <w:sz w:val="16"/>
          <w:szCs w:val="16"/>
        </w:rPr>
        <w:t xml:space="preserve">     </w:t>
      </w:r>
      <w:r w:rsidR="00635F2E" w:rsidRPr="00214D5E">
        <w:rPr>
          <w:rFonts w:ascii="Tahoma" w:hAnsi="Tahoma" w:cs="Tahoma"/>
          <w:b/>
          <w:i/>
          <w:sz w:val="16"/>
          <w:szCs w:val="16"/>
        </w:rPr>
        <w:t>“</w:t>
      </w:r>
      <w:r w:rsidR="00FF6B17" w:rsidRPr="00214D5E">
        <w:rPr>
          <w:rFonts w:ascii="Tahoma" w:hAnsi="Tahoma" w:cs="Tahoma"/>
          <w:i/>
          <w:sz w:val="16"/>
          <w:szCs w:val="16"/>
        </w:rPr>
        <w:t>Al respecto, la infracción tipificada en el literal b) del numeral 51.1 del artículo 51 de la Ley en concordancia con el literal b) del numeral 1) del artículo 237 del Reglamento establece como supuesto de hecho indispensable para su configuración, la resolución del contrato, orden de compra o de servicios, según corresponda, por causal atribuible a la Contratista.</w:t>
      </w:r>
      <w:r w:rsidR="00635F2E" w:rsidRPr="00214D5E">
        <w:rPr>
          <w:rFonts w:ascii="Tahoma" w:hAnsi="Tahoma" w:cs="Tahoma"/>
          <w:i/>
          <w:sz w:val="16"/>
          <w:szCs w:val="16"/>
        </w:rPr>
        <w:t>”.</w:t>
      </w:r>
    </w:p>
    <w:p w:rsidR="00E13E6B" w:rsidRPr="00214D5E" w:rsidRDefault="00E13E6B" w:rsidP="00E13E6B">
      <w:pPr>
        <w:ind w:left="2268" w:right="1843"/>
        <w:jc w:val="both"/>
        <w:rPr>
          <w:rFonts w:ascii="Tahoma" w:hAnsi="Tahoma" w:cs="Tahoma"/>
          <w:b/>
          <w:i/>
          <w:sz w:val="20"/>
          <w:szCs w:val="20"/>
          <w:highlight w:val="yellow"/>
        </w:rPr>
      </w:pPr>
    </w:p>
    <w:p w:rsidR="00E13E6B" w:rsidRPr="00214D5E" w:rsidRDefault="00E13E6B" w:rsidP="00E13E6B">
      <w:pPr>
        <w:pStyle w:val="Textoindependiente3"/>
        <w:ind w:left="4956" w:firstLine="708"/>
        <w:jc w:val="both"/>
        <w:rPr>
          <w:rFonts w:ascii="Tahoma" w:hAnsi="Tahoma" w:cs="Tahoma"/>
        </w:rPr>
      </w:pPr>
      <w:r w:rsidRPr="00214D5E">
        <w:rPr>
          <w:rFonts w:ascii="Tahoma" w:hAnsi="Tahoma" w:cs="Tahoma"/>
        </w:rPr>
        <w:t xml:space="preserve">Lima, </w:t>
      </w:r>
      <w:r w:rsidR="00743105">
        <w:rPr>
          <w:rFonts w:ascii="Tahoma" w:hAnsi="Tahoma" w:cs="Tahoma"/>
        </w:rPr>
        <w:t>18 de Marzo de 2011</w:t>
      </w:r>
    </w:p>
    <w:p w:rsidR="00E13E6B" w:rsidRPr="00214D5E" w:rsidRDefault="00E13E6B" w:rsidP="00E13E6B">
      <w:pPr>
        <w:pStyle w:val="Textoindependiente3"/>
        <w:jc w:val="both"/>
        <w:rPr>
          <w:rFonts w:ascii="Tahoma" w:hAnsi="Tahoma" w:cs="Tahoma"/>
          <w:b w:val="0"/>
          <w:lang w:val="es-ES"/>
        </w:rPr>
      </w:pPr>
    </w:p>
    <w:p w:rsidR="00E13E6B" w:rsidRPr="00214D5E" w:rsidRDefault="00E13E6B" w:rsidP="00E13E6B">
      <w:pPr>
        <w:ind w:firstLine="708"/>
        <w:jc w:val="both"/>
        <w:rPr>
          <w:rFonts w:ascii="Tahoma" w:hAnsi="Tahoma" w:cs="Tahoma"/>
          <w:sz w:val="20"/>
          <w:szCs w:val="20"/>
        </w:rPr>
      </w:pPr>
      <w:r w:rsidRPr="00214D5E">
        <w:rPr>
          <w:rFonts w:ascii="Tahoma" w:hAnsi="Tahoma" w:cs="Tahoma"/>
          <w:b/>
          <w:sz w:val="20"/>
          <w:szCs w:val="20"/>
        </w:rPr>
        <w:t>VISTO,</w:t>
      </w:r>
      <w:r w:rsidRPr="00214D5E">
        <w:rPr>
          <w:rFonts w:ascii="Tahoma" w:hAnsi="Tahoma" w:cs="Tahoma"/>
          <w:sz w:val="20"/>
          <w:szCs w:val="20"/>
        </w:rPr>
        <w:t xml:space="preserve"> en sesión de fecha </w:t>
      </w:r>
      <w:r w:rsidR="00214D5E" w:rsidRPr="00214D5E">
        <w:rPr>
          <w:rFonts w:ascii="Tahoma" w:hAnsi="Tahoma" w:cs="Tahoma"/>
          <w:sz w:val="20"/>
          <w:szCs w:val="20"/>
        </w:rPr>
        <w:t>17 de marzo</w:t>
      </w:r>
      <w:r w:rsidR="00531D1E" w:rsidRPr="00214D5E">
        <w:rPr>
          <w:rFonts w:ascii="Tahoma" w:hAnsi="Tahoma" w:cs="Tahoma"/>
          <w:sz w:val="20"/>
          <w:szCs w:val="20"/>
        </w:rPr>
        <w:t xml:space="preserve"> de 2011</w:t>
      </w:r>
      <w:r w:rsidRPr="00214D5E">
        <w:rPr>
          <w:rFonts w:ascii="Tahoma" w:hAnsi="Tahoma" w:cs="Tahoma"/>
          <w:sz w:val="20"/>
          <w:szCs w:val="20"/>
        </w:rPr>
        <w:t xml:space="preserve"> de la </w:t>
      </w:r>
      <w:r w:rsidR="001776B6" w:rsidRPr="00214D5E">
        <w:rPr>
          <w:rFonts w:ascii="Tahoma" w:hAnsi="Tahoma" w:cs="Tahoma"/>
          <w:sz w:val="20"/>
          <w:szCs w:val="20"/>
        </w:rPr>
        <w:t>Primera</w:t>
      </w:r>
      <w:r w:rsidRPr="00214D5E">
        <w:rPr>
          <w:rFonts w:ascii="Tahoma" w:hAnsi="Tahoma" w:cs="Tahoma"/>
          <w:sz w:val="20"/>
          <w:szCs w:val="20"/>
        </w:rPr>
        <w:t xml:space="preserve"> Sala del Tribunal de Contrataciones del Estado el Expediente № </w:t>
      </w:r>
      <w:r w:rsidR="00214D5E" w:rsidRPr="00214D5E">
        <w:rPr>
          <w:rFonts w:ascii="Tahoma" w:hAnsi="Tahoma" w:cs="Tahoma"/>
          <w:sz w:val="20"/>
          <w:szCs w:val="20"/>
        </w:rPr>
        <w:t>1052</w:t>
      </w:r>
      <w:r w:rsidR="00531D1E" w:rsidRPr="00214D5E">
        <w:rPr>
          <w:rFonts w:ascii="Tahoma" w:hAnsi="Tahoma" w:cs="Tahoma"/>
          <w:sz w:val="20"/>
          <w:szCs w:val="20"/>
        </w:rPr>
        <w:t>/20</w:t>
      </w:r>
      <w:r w:rsidR="00222218" w:rsidRPr="00214D5E">
        <w:rPr>
          <w:rFonts w:ascii="Tahoma" w:hAnsi="Tahoma" w:cs="Tahoma"/>
          <w:sz w:val="20"/>
          <w:szCs w:val="20"/>
        </w:rPr>
        <w:t>10</w:t>
      </w:r>
      <w:r w:rsidRPr="00214D5E">
        <w:rPr>
          <w:rFonts w:ascii="Tahoma" w:hAnsi="Tahoma" w:cs="Tahoma"/>
          <w:sz w:val="20"/>
          <w:szCs w:val="20"/>
        </w:rPr>
        <w:t>.TC, sobre procedimiento administrativo sancionador contra</w:t>
      </w:r>
      <w:r w:rsidR="00140241" w:rsidRPr="00214D5E">
        <w:rPr>
          <w:rFonts w:ascii="Tahoma" w:hAnsi="Tahoma" w:cs="Tahoma"/>
          <w:sz w:val="20"/>
          <w:szCs w:val="20"/>
        </w:rPr>
        <w:t xml:space="preserve"> </w:t>
      </w:r>
      <w:r w:rsidR="00214D5E">
        <w:rPr>
          <w:rFonts w:ascii="Tahoma" w:hAnsi="Tahoma" w:cs="Tahoma"/>
          <w:sz w:val="20"/>
          <w:szCs w:val="20"/>
        </w:rPr>
        <w:t xml:space="preserve">el </w:t>
      </w:r>
      <w:r w:rsidR="00214D5E" w:rsidRPr="00214D5E">
        <w:rPr>
          <w:rFonts w:ascii="Tahoma" w:hAnsi="Tahoma" w:cs="Tahoma"/>
          <w:sz w:val="20"/>
          <w:szCs w:val="20"/>
        </w:rPr>
        <w:t xml:space="preserve">señor EVACIO MARCOS CONDORI </w:t>
      </w:r>
      <w:r w:rsidRPr="00214D5E">
        <w:rPr>
          <w:rFonts w:ascii="Tahoma" w:hAnsi="Tahoma" w:cs="Tahoma"/>
          <w:sz w:val="20"/>
          <w:szCs w:val="20"/>
        </w:rPr>
        <w:t xml:space="preserve">por supuesta responsabilidad en la resolución </w:t>
      </w:r>
      <w:r w:rsidR="00E964AA" w:rsidRPr="00214D5E">
        <w:rPr>
          <w:rFonts w:ascii="Tahoma" w:hAnsi="Tahoma" w:cs="Tahoma"/>
          <w:sz w:val="20"/>
          <w:szCs w:val="20"/>
        </w:rPr>
        <w:t>de</w:t>
      </w:r>
      <w:r w:rsidR="00214D5E">
        <w:rPr>
          <w:rFonts w:ascii="Tahoma" w:hAnsi="Tahoma" w:cs="Tahoma"/>
          <w:sz w:val="20"/>
          <w:szCs w:val="20"/>
        </w:rPr>
        <w:t>l</w:t>
      </w:r>
      <w:r w:rsidR="00E964AA" w:rsidRPr="00214D5E">
        <w:rPr>
          <w:rFonts w:ascii="Tahoma" w:hAnsi="Tahoma" w:cs="Tahoma"/>
          <w:sz w:val="20"/>
          <w:szCs w:val="20"/>
        </w:rPr>
        <w:t xml:space="preserve"> </w:t>
      </w:r>
      <w:r w:rsidR="00214D5E" w:rsidRPr="00214D5E">
        <w:rPr>
          <w:rFonts w:ascii="Tahoma" w:hAnsi="Tahoma" w:cs="Tahoma"/>
          <w:sz w:val="20"/>
          <w:szCs w:val="20"/>
        </w:rPr>
        <w:t xml:space="preserve">Contrato № 922-2008/ORA </w:t>
      </w:r>
      <w:r w:rsidR="00822C2F" w:rsidRPr="00214D5E">
        <w:rPr>
          <w:rFonts w:ascii="Tahoma" w:hAnsi="Tahoma" w:cs="Tahoma"/>
          <w:sz w:val="20"/>
          <w:szCs w:val="20"/>
        </w:rPr>
        <w:t xml:space="preserve">por causa atribuible a </w:t>
      </w:r>
      <w:r w:rsidR="00214D5E">
        <w:rPr>
          <w:rFonts w:ascii="Tahoma" w:hAnsi="Tahoma" w:cs="Tahoma"/>
          <w:sz w:val="20"/>
          <w:szCs w:val="20"/>
        </w:rPr>
        <w:t>él</w:t>
      </w:r>
      <w:r w:rsidR="00466DC8" w:rsidRPr="00214D5E">
        <w:rPr>
          <w:rFonts w:ascii="Tahoma" w:hAnsi="Tahoma" w:cs="Tahoma"/>
          <w:sz w:val="20"/>
          <w:szCs w:val="20"/>
        </w:rPr>
        <w:t>, derivada</w:t>
      </w:r>
      <w:r w:rsidR="000B0A8A" w:rsidRPr="00214D5E">
        <w:rPr>
          <w:rFonts w:ascii="Tahoma" w:hAnsi="Tahoma" w:cs="Tahoma"/>
          <w:sz w:val="20"/>
          <w:szCs w:val="20"/>
        </w:rPr>
        <w:t xml:space="preserve"> de la</w:t>
      </w:r>
      <w:r w:rsidRPr="00214D5E">
        <w:rPr>
          <w:rFonts w:ascii="Tahoma" w:hAnsi="Tahoma" w:cs="Tahoma"/>
          <w:sz w:val="20"/>
          <w:szCs w:val="20"/>
        </w:rPr>
        <w:t xml:space="preserve"> </w:t>
      </w:r>
      <w:r w:rsidR="001E71F0" w:rsidRPr="001E71F0">
        <w:rPr>
          <w:rFonts w:ascii="Tahoma" w:hAnsi="Tahoma" w:cs="Tahoma"/>
          <w:sz w:val="20"/>
          <w:szCs w:val="20"/>
        </w:rPr>
        <w:t>Adjudicación de Menor Cuantía № 0949-2008/GOB.REG.HVCA/CEP</w:t>
      </w:r>
      <w:r w:rsidRPr="00214D5E">
        <w:rPr>
          <w:rFonts w:ascii="Tahoma" w:hAnsi="Tahoma" w:cs="Tahoma"/>
          <w:sz w:val="20"/>
          <w:szCs w:val="20"/>
        </w:rPr>
        <w:t>, convocado por</w:t>
      </w:r>
      <w:r w:rsidR="004F2CC5" w:rsidRPr="00214D5E">
        <w:rPr>
          <w:rFonts w:ascii="Tahoma" w:hAnsi="Tahoma" w:cs="Tahoma"/>
          <w:sz w:val="20"/>
          <w:szCs w:val="20"/>
        </w:rPr>
        <w:t xml:space="preserve"> </w:t>
      </w:r>
      <w:r w:rsidR="001E71F0" w:rsidRPr="00214D5E">
        <w:rPr>
          <w:rFonts w:ascii="Tahoma" w:hAnsi="Tahoma" w:cs="Tahoma"/>
          <w:sz w:val="20"/>
          <w:szCs w:val="20"/>
        </w:rPr>
        <w:t>el Gobierno Regional de Huancavelica</w:t>
      </w:r>
      <w:r w:rsidRPr="00214D5E">
        <w:rPr>
          <w:rFonts w:ascii="Tahoma" w:hAnsi="Tahoma" w:cs="Tahoma"/>
          <w:sz w:val="20"/>
          <w:szCs w:val="20"/>
        </w:rPr>
        <w:t>, para</w:t>
      </w:r>
      <w:r w:rsidR="00903A92" w:rsidRPr="00214D5E">
        <w:rPr>
          <w:rFonts w:ascii="Tahoma" w:hAnsi="Tahoma" w:cs="Tahoma"/>
          <w:sz w:val="20"/>
          <w:szCs w:val="20"/>
        </w:rPr>
        <w:t xml:space="preserve"> </w:t>
      </w:r>
      <w:r w:rsidR="00D069FF">
        <w:rPr>
          <w:rFonts w:ascii="Tahoma" w:hAnsi="Tahoma" w:cs="Tahoma"/>
          <w:sz w:val="20"/>
          <w:szCs w:val="20"/>
        </w:rPr>
        <w:t xml:space="preserve">la </w:t>
      </w:r>
      <w:r w:rsidR="00D069FF" w:rsidRPr="00D069FF">
        <w:rPr>
          <w:rFonts w:ascii="Tahoma" w:hAnsi="Tahoma" w:cs="Tahoma"/>
          <w:sz w:val="20"/>
          <w:szCs w:val="20"/>
        </w:rPr>
        <w:t>“Adquisición de agregados para el proyecto instalación de jaulas flotantes para la Producción Intensiva de Truchas en las Lagunas de Minacocha y Tanseroccocha Huando Tansiri HVCA”</w:t>
      </w:r>
      <w:r w:rsidRPr="00214D5E">
        <w:rPr>
          <w:rFonts w:ascii="Tahoma" w:hAnsi="Tahoma" w:cs="Tahoma"/>
          <w:sz w:val="20"/>
          <w:szCs w:val="20"/>
        </w:rPr>
        <w:t xml:space="preserve">, y; atendiendo a los siguientes:  </w:t>
      </w:r>
    </w:p>
    <w:p w:rsidR="00E13E6B" w:rsidRPr="00214D5E" w:rsidRDefault="00E13E6B" w:rsidP="00E13E6B">
      <w:pPr>
        <w:ind w:right="45"/>
        <w:jc w:val="both"/>
        <w:rPr>
          <w:rFonts w:ascii="Tahoma" w:hAnsi="Tahoma" w:cs="Tahoma"/>
          <w:b/>
          <w:sz w:val="20"/>
          <w:szCs w:val="20"/>
        </w:rPr>
      </w:pPr>
    </w:p>
    <w:p w:rsidR="00E13E6B" w:rsidRPr="00214D5E" w:rsidRDefault="00E13E6B" w:rsidP="00E13E6B">
      <w:pPr>
        <w:ind w:firstLine="567"/>
        <w:jc w:val="both"/>
        <w:rPr>
          <w:rFonts w:ascii="Tahoma" w:hAnsi="Tahoma" w:cs="Tahoma"/>
          <w:b/>
          <w:sz w:val="20"/>
          <w:szCs w:val="20"/>
        </w:rPr>
      </w:pPr>
      <w:r w:rsidRPr="00214D5E">
        <w:rPr>
          <w:rFonts w:ascii="Tahoma" w:hAnsi="Tahoma" w:cs="Tahoma"/>
          <w:b/>
          <w:sz w:val="20"/>
          <w:szCs w:val="20"/>
        </w:rPr>
        <w:t>ANTECEDENTES:</w:t>
      </w:r>
    </w:p>
    <w:p w:rsidR="00E13E6B" w:rsidRPr="00214D5E" w:rsidRDefault="00E13E6B" w:rsidP="00E13E6B">
      <w:pPr>
        <w:ind w:left="426"/>
        <w:jc w:val="both"/>
        <w:rPr>
          <w:rFonts w:ascii="Tahoma" w:hAnsi="Tahoma" w:cs="Tahoma"/>
          <w:b/>
          <w:bCs/>
          <w:shadow/>
          <w:sz w:val="20"/>
          <w:szCs w:val="20"/>
        </w:rPr>
      </w:pPr>
    </w:p>
    <w:p w:rsidR="00214D5E" w:rsidRPr="00214D5E" w:rsidRDefault="00214D5E" w:rsidP="00214D5E">
      <w:pPr>
        <w:pStyle w:val="Textoindependiente"/>
        <w:numPr>
          <w:ilvl w:val="0"/>
          <w:numId w:val="26"/>
        </w:numPr>
        <w:tabs>
          <w:tab w:val="left" w:pos="-2340"/>
        </w:tabs>
        <w:spacing w:after="0"/>
        <w:ind w:left="567" w:hanging="567"/>
        <w:jc w:val="both"/>
        <w:rPr>
          <w:rFonts w:ascii="Tahoma" w:hAnsi="Tahoma" w:cs="Tahoma"/>
          <w:sz w:val="20"/>
          <w:szCs w:val="20"/>
        </w:rPr>
      </w:pPr>
      <w:r w:rsidRPr="00214D5E">
        <w:rPr>
          <w:rFonts w:ascii="Tahoma" w:hAnsi="Tahoma" w:cs="Tahoma"/>
          <w:sz w:val="20"/>
          <w:szCs w:val="20"/>
        </w:rPr>
        <w:t>El 13 de noviembre de 2008, el Gobierno Regional de Huancavelica, en adelante la Entidad, convocó la Adjudicación de Menor Cuantía № 0949-2008/GOB.REG.HVCA/CEP, Segunda Convocatoria, para la “Adquisición de agregados para el proyecto instalación de jaulas flotantes para la Producción Intensiva de Truchas en las Lagunas de Minacocha y Tanseroccocha Huando Tansiri HVCA”, por un valor referencial ascendente a S/. 11 972.30</w:t>
      </w:r>
      <w:r w:rsidRPr="00214D5E">
        <w:rPr>
          <w:rFonts w:ascii="Tahoma" w:hAnsi="Tahoma" w:cs="Tahoma"/>
          <w:b/>
          <w:i/>
          <w:sz w:val="20"/>
          <w:szCs w:val="20"/>
        </w:rPr>
        <w:t xml:space="preserve"> </w:t>
      </w:r>
      <w:r w:rsidRPr="00214D5E">
        <w:rPr>
          <w:rFonts w:ascii="Tahoma" w:hAnsi="Tahoma" w:cs="Tahoma"/>
          <w:sz w:val="20"/>
          <w:szCs w:val="20"/>
        </w:rPr>
        <w:t>(Once mil novecientos setenta y dos  con 30/100 nuevos soles) incluido el Impuesto General a las Ventas (IGV).</w:t>
      </w:r>
    </w:p>
    <w:p w:rsidR="00214D5E" w:rsidRPr="00214D5E" w:rsidRDefault="00214D5E" w:rsidP="00214D5E">
      <w:pPr>
        <w:pStyle w:val="Textoindependiente"/>
        <w:tabs>
          <w:tab w:val="left" w:pos="-2340"/>
        </w:tabs>
        <w:ind w:left="567"/>
        <w:rPr>
          <w:rFonts w:ascii="Tahoma" w:hAnsi="Tahoma" w:cs="Tahoma"/>
          <w:sz w:val="20"/>
          <w:szCs w:val="20"/>
        </w:rPr>
      </w:pPr>
    </w:p>
    <w:p w:rsidR="00214D5E" w:rsidRPr="00214D5E" w:rsidRDefault="00214D5E" w:rsidP="00214D5E">
      <w:pPr>
        <w:pStyle w:val="Textoindependiente"/>
        <w:numPr>
          <w:ilvl w:val="0"/>
          <w:numId w:val="26"/>
        </w:numPr>
        <w:tabs>
          <w:tab w:val="left" w:pos="-2340"/>
        </w:tabs>
        <w:spacing w:after="0"/>
        <w:ind w:left="567" w:hanging="567"/>
        <w:jc w:val="both"/>
        <w:rPr>
          <w:rFonts w:ascii="Tahoma" w:hAnsi="Tahoma" w:cs="Tahoma"/>
          <w:sz w:val="20"/>
          <w:szCs w:val="20"/>
        </w:rPr>
      </w:pPr>
      <w:r w:rsidRPr="00214D5E">
        <w:rPr>
          <w:rFonts w:ascii="Tahoma" w:hAnsi="Tahoma" w:cs="Tahoma"/>
          <w:sz w:val="20"/>
          <w:szCs w:val="20"/>
        </w:rPr>
        <w:t>Con fecha</w:t>
      </w:r>
      <w:r w:rsidRPr="00214D5E">
        <w:rPr>
          <w:rFonts w:ascii="Tahoma" w:hAnsi="Tahoma" w:cs="Tahoma"/>
          <w:sz w:val="20"/>
          <w:szCs w:val="20"/>
          <w:lang w:val="es-PE"/>
        </w:rPr>
        <w:t xml:space="preserve"> 17 de noviembre de 2008, el Comité Especial otorgó la Buena Pro del referido proceso de selección al señor EVACIO MARCOS CONDORI, en lo sucesivo el Contratista, por el monto adjudicado ascendente a S/. </w:t>
      </w:r>
      <w:r w:rsidRPr="00214D5E">
        <w:rPr>
          <w:rFonts w:ascii="Tahoma" w:hAnsi="Tahoma" w:cs="Tahoma"/>
          <w:bCs/>
          <w:sz w:val="20"/>
          <w:szCs w:val="20"/>
        </w:rPr>
        <w:t>11 972,30.</w:t>
      </w:r>
    </w:p>
    <w:p w:rsidR="00214D5E" w:rsidRPr="00214D5E" w:rsidRDefault="00214D5E" w:rsidP="00214D5E">
      <w:pPr>
        <w:pStyle w:val="Prrafodelista"/>
        <w:rPr>
          <w:rFonts w:ascii="Tahoma" w:hAnsi="Tahoma" w:cs="Tahoma"/>
        </w:rPr>
      </w:pPr>
    </w:p>
    <w:p w:rsidR="00214D5E" w:rsidRPr="00214D5E" w:rsidRDefault="00214D5E" w:rsidP="00214D5E">
      <w:pPr>
        <w:pStyle w:val="Textoindependiente"/>
        <w:numPr>
          <w:ilvl w:val="0"/>
          <w:numId w:val="26"/>
        </w:numPr>
        <w:tabs>
          <w:tab w:val="left" w:pos="-2340"/>
        </w:tabs>
        <w:spacing w:after="0"/>
        <w:ind w:left="567" w:hanging="567"/>
        <w:jc w:val="both"/>
        <w:rPr>
          <w:rFonts w:ascii="Tahoma" w:hAnsi="Tahoma" w:cs="Tahoma"/>
          <w:sz w:val="20"/>
          <w:szCs w:val="20"/>
        </w:rPr>
      </w:pPr>
      <w:r w:rsidRPr="00214D5E">
        <w:rPr>
          <w:rFonts w:ascii="Tahoma" w:hAnsi="Tahoma" w:cs="Tahoma"/>
          <w:sz w:val="20"/>
          <w:szCs w:val="20"/>
        </w:rPr>
        <w:t>El 25 de noviembre de 2008, la Entidad y el Contratista</w:t>
      </w:r>
      <w:r w:rsidRPr="00214D5E">
        <w:rPr>
          <w:rFonts w:ascii="Tahoma" w:hAnsi="Tahoma" w:cs="Tahoma"/>
          <w:sz w:val="20"/>
          <w:szCs w:val="20"/>
          <w:lang w:val="es-PE"/>
        </w:rPr>
        <w:t xml:space="preserve"> suscribieron el Contrato № 922-2008/ORA, referido al </w:t>
      </w:r>
      <w:r w:rsidRPr="00214D5E">
        <w:rPr>
          <w:rFonts w:ascii="Tahoma" w:hAnsi="Tahoma" w:cs="Tahoma"/>
          <w:sz w:val="20"/>
          <w:szCs w:val="20"/>
        </w:rPr>
        <w:t xml:space="preserve">proyecto instalación de jaulas flotantes para la Producción Intensiva de Truchas en las Lagunas de Minacocha y Tanseroccocha Huando Tansiri HVCA”, por el monto de </w:t>
      </w:r>
      <w:r w:rsidRPr="00214D5E">
        <w:rPr>
          <w:rFonts w:ascii="Tahoma" w:hAnsi="Tahoma" w:cs="Tahoma"/>
          <w:sz w:val="20"/>
          <w:szCs w:val="20"/>
          <w:lang w:val="es-PE"/>
        </w:rPr>
        <w:t xml:space="preserve">S/. </w:t>
      </w:r>
      <w:r w:rsidRPr="00214D5E">
        <w:rPr>
          <w:rFonts w:ascii="Tahoma" w:hAnsi="Tahoma" w:cs="Tahoma"/>
          <w:bCs/>
          <w:sz w:val="20"/>
          <w:szCs w:val="20"/>
        </w:rPr>
        <w:t>11 972,30, y con un plazo de ejecución contractual de cinco (5) días calendario.</w:t>
      </w:r>
    </w:p>
    <w:p w:rsidR="00214D5E" w:rsidRPr="00214D5E" w:rsidRDefault="00214D5E" w:rsidP="00214D5E">
      <w:pPr>
        <w:pStyle w:val="Prrafodelista"/>
        <w:rPr>
          <w:rFonts w:ascii="Tahoma" w:hAnsi="Tahoma" w:cs="Tahoma"/>
          <w:lang w:val="es-PE"/>
        </w:rPr>
      </w:pPr>
    </w:p>
    <w:p w:rsidR="00214D5E" w:rsidRPr="00214D5E" w:rsidRDefault="00214D5E" w:rsidP="00214D5E">
      <w:pPr>
        <w:pStyle w:val="Textoindependiente"/>
        <w:numPr>
          <w:ilvl w:val="0"/>
          <w:numId w:val="26"/>
        </w:numPr>
        <w:tabs>
          <w:tab w:val="left" w:pos="-2340"/>
        </w:tabs>
        <w:spacing w:after="0"/>
        <w:ind w:left="567" w:hanging="567"/>
        <w:jc w:val="both"/>
        <w:rPr>
          <w:rFonts w:ascii="Tahoma" w:hAnsi="Tahoma" w:cs="Tahoma"/>
          <w:sz w:val="20"/>
          <w:szCs w:val="20"/>
        </w:rPr>
      </w:pPr>
      <w:r w:rsidRPr="00214D5E">
        <w:rPr>
          <w:rFonts w:ascii="Tahoma" w:hAnsi="Tahoma" w:cs="Tahoma"/>
          <w:sz w:val="20"/>
          <w:szCs w:val="20"/>
          <w:lang w:val="es-PE"/>
        </w:rPr>
        <w:t>Mediante Carta Notarial № 117-2010/GOB.REG-HVCA/ORA-OL de fecha 15 de marzo de 2010, diligenciada el 16 del mismo mes y año, la Entidad otorgó al Contratista un plazo de tres (3) días para que cumpla sus obligaciones contractuales derivadas del Contrato № 922-2008/ORA, bajo apercibimiento de resolver el referido contrato.</w:t>
      </w:r>
    </w:p>
    <w:p w:rsidR="00214D5E" w:rsidRPr="00214D5E" w:rsidRDefault="00214D5E" w:rsidP="00214D5E">
      <w:pPr>
        <w:pStyle w:val="Prrafodelista"/>
        <w:rPr>
          <w:rFonts w:ascii="Tahoma" w:hAnsi="Tahoma" w:cs="Tahoma"/>
          <w:lang w:val="es-PE"/>
        </w:rPr>
      </w:pPr>
    </w:p>
    <w:p w:rsidR="00214D5E" w:rsidRPr="00214D5E" w:rsidRDefault="00214D5E" w:rsidP="00214D5E">
      <w:pPr>
        <w:pStyle w:val="Textoindependiente"/>
        <w:numPr>
          <w:ilvl w:val="0"/>
          <w:numId w:val="26"/>
        </w:numPr>
        <w:tabs>
          <w:tab w:val="left" w:pos="-2340"/>
        </w:tabs>
        <w:spacing w:after="0"/>
        <w:ind w:left="567" w:hanging="567"/>
        <w:jc w:val="both"/>
        <w:rPr>
          <w:rFonts w:ascii="Tahoma" w:hAnsi="Tahoma" w:cs="Tahoma"/>
          <w:sz w:val="20"/>
          <w:szCs w:val="20"/>
        </w:rPr>
      </w:pPr>
      <w:r w:rsidRPr="00214D5E">
        <w:rPr>
          <w:rFonts w:ascii="Tahoma" w:hAnsi="Tahoma" w:cs="Tahoma"/>
          <w:sz w:val="20"/>
          <w:szCs w:val="20"/>
          <w:lang w:val="es-PE"/>
        </w:rPr>
        <w:t xml:space="preserve">Con Carta Notarial № 046-2010/GOB.REG-HVCA/GGR-ORA de  fecha 23 de marzo de 2010, diligenciada el 25 del mismo mes y año, la Entidad </w:t>
      </w:r>
      <w:r w:rsidRPr="00214D5E">
        <w:rPr>
          <w:rFonts w:ascii="Tahoma" w:hAnsi="Tahoma" w:cs="Tahoma"/>
          <w:sz w:val="20"/>
          <w:szCs w:val="20"/>
        </w:rPr>
        <w:t xml:space="preserve">comunicó al Contratista la resolución del vínculo contractual, por causal atribuible a su parte, atendiendo a </w:t>
      </w:r>
      <w:r w:rsidRPr="00214D5E">
        <w:rPr>
          <w:rFonts w:ascii="Tahoma" w:hAnsi="Tahoma" w:cs="Tahoma"/>
          <w:sz w:val="20"/>
          <w:szCs w:val="20"/>
          <w:lang w:val="es-PE"/>
        </w:rPr>
        <w:t xml:space="preserve">que el </w:t>
      </w:r>
      <w:r w:rsidRPr="00214D5E">
        <w:rPr>
          <w:rFonts w:ascii="Tahoma" w:hAnsi="Tahoma" w:cs="Tahoma"/>
          <w:sz w:val="20"/>
          <w:szCs w:val="20"/>
          <w:lang w:val="es-PE"/>
        </w:rPr>
        <w:lastRenderedPageBreak/>
        <w:t>Contratista no había cumplido sus obligaciones contractuales referida a la entrega de los bienes ofertados.</w:t>
      </w:r>
    </w:p>
    <w:p w:rsidR="00214D5E" w:rsidRPr="00214D5E" w:rsidRDefault="00214D5E" w:rsidP="00214D5E">
      <w:pPr>
        <w:pStyle w:val="Prrafodelista"/>
        <w:rPr>
          <w:rFonts w:ascii="Tahoma" w:hAnsi="Tahoma" w:cs="Tahoma"/>
          <w:lang w:val="es-PE"/>
        </w:rPr>
      </w:pPr>
    </w:p>
    <w:p w:rsidR="00214D5E" w:rsidRPr="00214D5E" w:rsidRDefault="00214D5E" w:rsidP="00214D5E">
      <w:pPr>
        <w:pStyle w:val="Textoindependiente"/>
        <w:numPr>
          <w:ilvl w:val="0"/>
          <w:numId w:val="26"/>
        </w:numPr>
        <w:tabs>
          <w:tab w:val="left" w:pos="-2340"/>
        </w:tabs>
        <w:spacing w:after="0"/>
        <w:ind w:left="567" w:hanging="567"/>
        <w:jc w:val="both"/>
        <w:rPr>
          <w:rFonts w:ascii="Tahoma" w:hAnsi="Tahoma" w:cs="Tahoma"/>
          <w:sz w:val="20"/>
          <w:szCs w:val="20"/>
        </w:rPr>
      </w:pPr>
      <w:r w:rsidRPr="00214D5E">
        <w:rPr>
          <w:rFonts w:ascii="Tahoma" w:hAnsi="Tahoma" w:cs="Tahoma"/>
          <w:sz w:val="20"/>
          <w:szCs w:val="20"/>
          <w:lang w:val="es-PE"/>
        </w:rPr>
        <w:t xml:space="preserve">El 09 de agosto de 2010, mediante Oficio № 463-2010/GOB.REG.-HVCA/GGR-ORA, la Entidad </w:t>
      </w:r>
      <w:r w:rsidRPr="00214D5E">
        <w:rPr>
          <w:rFonts w:ascii="Tahoma" w:hAnsi="Tahoma" w:cs="Tahoma"/>
          <w:sz w:val="20"/>
          <w:szCs w:val="20"/>
        </w:rPr>
        <w:t xml:space="preserve">puso en conocimiento del Tribunal de Contrataciones del Estado, en lo sucesivo el Tribunal, que el Contratista habría incurrido en supuesta responsabilidad por la resolución </w:t>
      </w:r>
      <w:r w:rsidRPr="00214D5E">
        <w:rPr>
          <w:rFonts w:ascii="Tahoma" w:hAnsi="Tahoma" w:cs="Tahoma"/>
          <w:sz w:val="20"/>
          <w:szCs w:val="20"/>
          <w:lang w:val="es-PE"/>
        </w:rPr>
        <w:t>del Contrato № 922-2008/ORA</w:t>
      </w:r>
      <w:r w:rsidRPr="00214D5E">
        <w:rPr>
          <w:rFonts w:ascii="Tahoma" w:hAnsi="Tahoma" w:cs="Tahoma"/>
          <w:sz w:val="20"/>
          <w:szCs w:val="20"/>
        </w:rPr>
        <w:t xml:space="preserve"> por causal atribuible a su parte, derivado del acotado proceso de selección, pese a haber sido requerido de acuerdo con la legislación vigente. </w:t>
      </w:r>
    </w:p>
    <w:p w:rsidR="00214D5E" w:rsidRPr="00214D5E" w:rsidRDefault="00214D5E" w:rsidP="00214D5E">
      <w:pPr>
        <w:pStyle w:val="Prrafodelista"/>
        <w:rPr>
          <w:rFonts w:ascii="Tahoma" w:hAnsi="Tahoma" w:cs="Tahoma"/>
        </w:rPr>
      </w:pPr>
    </w:p>
    <w:p w:rsidR="00214D5E" w:rsidRPr="00214D5E" w:rsidRDefault="00214D5E" w:rsidP="00214D5E">
      <w:pPr>
        <w:pStyle w:val="Textoindependiente"/>
        <w:numPr>
          <w:ilvl w:val="0"/>
          <w:numId w:val="26"/>
        </w:numPr>
        <w:tabs>
          <w:tab w:val="left" w:pos="-2340"/>
        </w:tabs>
        <w:spacing w:after="0"/>
        <w:ind w:left="567" w:hanging="567"/>
        <w:jc w:val="both"/>
        <w:rPr>
          <w:rFonts w:ascii="Tahoma" w:hAnsi="Tahoma" w:cs="Tahoma"/>
          <w:sz w:val="20"/>
          <w:szCs w:val="20"/>
        </w:rPr>
      </w:pPr>
      <w:r w:rsidRPr="00214D5E">
        <w:rPr>
          <w:rFonts w:ascii="Tahoma" w:hAnsi="Tahoma" w:cs="Tahoma"/>
          <w:sz w:val="20"/>
          <w:szCs w:val="20"/>
        </w:rPr>
        <w:t>Mediante decreto de fecha 12 de agosto de 2010, previamente al inicio del procedimiento administrativo sancionador, el Tribunal requirió a la Entidad que remita, entre otros, un informe técnico legal sobre la procedencia y supuesta responsabilidad del Contratista en los hechos denunciados, así como las cartas notariales de requerimiento y de resolución del contrato, debidamente diligenciadas vía notarial, además de señalar si la controversia había sido sometida a un mecanismo de solución de conflictos.</w:t>
      </w:r>
    </w:p>
    <w:p w:rsidR="00214D5E" w:rsidRPr="00214D5E" w:rsidRDefault="00214D5E" w:rsidP="00214D5E">
      <w:pPr>
        <w:pStyle w:val="Prrafodelista"/>
        <w:rPr>
          <w:rFonts w:ascii="Tahoma" w:hAnsi="Tahoma" w:cs="Tahoma"/>
        </w:rPr>
      </w:pPr>
    </w:p>
    <w:p w:rsidR="00214D5E" w:rsidRPr="00214D5E" w:rsidRDefault="00214D5E" w:rsidP="00214D5E">
      <w:pPr>
        <w:pStyle w:val="Textoindependiente"/>
        <w:numPr>
          <w:ilvl w:val="0"/>
          <w:numId w:val="26"/>
        </w:numPr>
        <w:tabs>
          <w:tab w:val="left" w:pos="-2340"/>
        </w:tabs>
        <w:spacing w:after="0"/>
        <w:ind w:left="567" w:hanging="567"/>
        <w:jc w:val="both"/>
        <w:rPr>
          <w:rFonts w:ascii="Tahoma" w:hAnsi="Tahoma" w:cs="Tahoma"/>
          <w:sz w:val="20"/>
          <w:szCs w:val="20"/>
        </w:rPr>
      </w:pPr>
      <w:r w:rsidRPr="00214D5E">
        <w:rPr>
          <w:rFonts w:ascii="Tahoma" w:hAnsi="Tahoma" w:cs="Tahoma"/>
          <w:sz w:val="20"/>
          <w:szCs w:val="20"/>
        </w:rPr>
        <w:t>El 26 de noviembre de 2010, mediante Oficio № 688-2010/GOB.REG-HVCA/GGR-ORA, la Entidad remitió la documentación solicitada por el Tribunal.</w:t>
      </w:r>
    </w:p>
    <w:p w:rsidR="00214D5E" w:rsidRPr="00214D5E" w:rsidRDefault="00214D5E" w:rsidP="00214D5E">
      <w:pPr>
        <w:pStyle w:val="Prrafodelista"/>
        <w:rPr>
          <w:rFonts w:ascii="Tahoma" w:hAnsi="Tahoma" w:cs="Tahoma"/>
        </w:rPr>
      </w:pPr>
    </w:p>
    <w:p w:rsidR="00214D5E" w:rsidRPr="00214D5E" w:rsidRDefault="00214D5E" w:rsidP="00214D5E">
      <w:pPr>
        <w:pStyle w:val="Textoindependiente"/>
        <w:numPr>
          <w:ilvl w:val="0"/>
          <w:numId w:val="26"/>
        </w:numPr>
        <w:tabs>
          <w:tab w:val="left" w:pos="-2340"/>
        </w:tabs>
        <w:spacing w:after="0"/>
        <w:ind w:left="567" w:hanging="567"/>
        <w:jc w:val="both"/>
        <w:rPr>
          <w:rFonts w:ascii="Tahoma" w:hAnsi="Tahoma" w:cs="Tahoma"/>
          <w:sz w:val="20"/>
          <w:szCs w:val="20"/>
        </w:rPr>
      </w:pPr>
      <w:r w:rsidRPr="00214D5E">
        <w:rPr>
          <w:rFonts w:ascii="Tahoma" w:hAnsi="Tahoma" w:cs="Tahoma"/>
          <w:sz w:val="20"/>
          <w:szCs w:val="20"/>
        </w:rPr>
        <w:t xml:space="preserve">Mediante decreto de fecha 1 de diciembre de 2010, se requirió a la Entidad para que cumpliese con informar si la controversia derivada de la resolución del </w:t>
      </w:r>
      <w:r w:rsidRPr="00214D5E">
        <w:rPr>
          <w:rFonts w:ascii="Tahoma" w:hAnsi="Tahoma" w:cs="Tahoma"/>
          <w:sz w:val="20"/>
          <w:szCs w:val="20"/>
          <w:lang w:val="es-PE"/>
        </w:rPr>
        <w:t>Contrato № 922-2008/ORA, había sido sometida a procedimiento arbitral u otro mecanismo de solución de conflictos, y de ser el caso, adjuntase la demanda arbitral y el Acta de Instalación Arbitral.</w:t>
      </w:r>
    </w:p>
    <w:p w:rsidR="00214D5E" w:rsidRPr="00214D5E" w:rsidRDefault="00214D5E" w:rsidP="00214D5E">
      <w:pPr>
        <w:pStyle w:val="Prrafodelista"/>
        <w:rPr>
          <w:rFonts w:ascii="Tahoma" w:hAnsi="Tahoma" w:cs="Tahoma"/>
        </w:rPr>
      </w:pPr>
    </w:p>
    <w:p w:rsidR="00214D5E" w:rsidRPr="00214D5E" w:rsidRDefault="00214D5E" w:rsidP="00214D5E">
      <w:pPr>
        <w:pStyle w:val="Textoindependiente"/>
        <w:numPr>
          <w:ilvl w:val="0"/>
          <w:numId w:val="26"/>
        </w:numPr>
        <w:tabs>
          <w:tab w:val="left" w:pos="-2340"/>
        </w:tabs>
        <w:spacing w:after="0"/>
        <w:ind w:left="567" w:hanging="567"/>
        <w:jc w:val="both"/>
        <w:rPr>
          <w:rFonts w:ascii="Tahoma" w:hAnsi="Tahoma" w:cs="Tahoma"/>
          <w:sz w:val="20"/>
          <w:szCs w:val="20"/>
        </w:rPr>
      </w:pPr>
      <w:r w:rsidRPr="00214D5E">
        <w:rPr>
          <w:rFonts w:ascii="Tahoma" w:hAnsi="Tahoma" w:cs="Tahoma"/>
          <w:sz w:val="20"/>
          <w:szCs w:val="20"/>
        </w:rPr>
        <w:t>No habiendo cumplido la Entidad con remitir la Información y/o documentación solicitada por el Tribunal, mediante decreto de fecha 21 de diciembre de 2010, se hizo efectivo el apercibimiento decretado de resolver el presente procedimiento con la documentación obrante en autos, y se remitieron los actuados a la Tercera Sala del Tribunal para que se pronuncie respecto al inicio de procedimiento administrativo sancionador contra el Contratista.</w:t>
      </w:r>
    </w:p>
    <w:p w:rsidR="00214D5E" w:rsidRPr="00214D5E" w:rsidRDefault="00214D5E" w:rsidP="00214D5E">
      <w:pPr>
        <w:pStyle w:val="Prrafodelista"/>
        <w:rPr>
          <w:rFonts w:ascii="Tahoma" w:hAnsi="Tahoma" w:cs="Tahoma"/>
        </w:rPr>
      </w:pPr>
    </w:p>
    <w:p w:rsidR="00214D5E" w:rsidRPr="00214D5E" w:rsidRDefault="00214D5E" w:rsidP="00214D5E">
      <w:pPr>
        <w:pStyle w:val="Textoindependiente"/>
        <w:numPr>
          <w:ilvl w:val="0"/>
          <w:numId w:val="26"/>
        </w:numPr>
        <w:tabs>
          <w:tab w:val="left" w:pos="-2340"/>
        </w:tabs>
        <w:spacing w:after="0"/>
        <w:ind w:left="567" w:hanging="567"/>
        <w:jc w:val="both"/>
        <w:rPr>
          <w:rFonts w:ascii="Tahoma" w:hAnsi="Tahoma" w:cs="Tahoma"/>
          <w:sz w:val="20"/>
          <w:szCs w:val="20"/>
        </w:rPr>
      </w:pPr>
      <w:r w:rsidRPr="00214D5E">
        <w:rPr>
          <w:rFonts w:ascii="Tahoma" w:hAnsi="Tahoma" w:cs="Tahoma"/>
          <w:sz w:val="20"/>
          <w:szCs w:val="20"/>
        </w:rPr>
        <w:t>A través del Acuerdo № 022/2011-TC-S3 de fecha 13 de enero de 2011, el Tribunal acordó iniciar procedimiento administrativo sancionador contra el Contratista, por su supuesta responsabilidad en la resolución del Contrato № 922-2008/ORA de fecha 25 de noviembre de 2008, por causal atribuible a su parte, infracción prevista en el literal b) del numeral 51.1 del artículo 51 de la Ley en concordancia con el literal b) del numeral 1) del artículo 237 del Reglamento.</w:t>
      </w:r>
    </w:p>
    <w:p w:rsidR="00214D5E" w:rsidRPr="00214D5E" w:rsidRDefault="00214D5E" w:rsidP="00214D5E">
      <w:pPr>
        <w:pStyle w:val="Prrafodelista"/>
        <w:rPr>
          <w:rFonts w:ascii="Tahoma" w:hAnsi="Tahoma" w:cs="Tahoma"/>
        </w:rPr>
      </w:pPr>
    </w:p>
    <w:p w:rsidR="00214D5E" w:rsidRPr="00214D5E" w:rsidRDefault="00214D5E" w:rsidP="00214D5E">
      <w:pPr>
        <w:pStyle w:val="Textoindependiente"/>
        <w:numPr>
          <w:ilvl w:val="0"/>
          <w:numId w:val="26"/>
        </w:numPr>
        <w:tabs>
          <w:tab w:val="left" w:pos="-2340"/>
        </w:tabs>
        <w:spacing w:after="0"/>
        <w:ind w:left="567" w:hanging="567"/>
        <w:jc w:val="both"/>
        <w:rPr>
          <w:rFonts w:ascii="Tahoma" w:hAnsi="Tahoma" w:cs="Tahoma"/>
          <w:sz w:val="20"/>
          <w:szCs w:val="20"/>
        </w:rPr>
      </w:pPr>
      <w:r w:rsidRPr="00214D5E">
        <w:rPr>
          <w:rFonts w:ascii="Tahoma" w:hAnsi="Tahoma" w:cs="Tahoma"/>
          <w:sz w:val="20"/>
          <w:szCs w:val="20"/>
        </w:rPr>
        <w:t>Con decreto de fecha 18 de enero de 2011, el Tribunal inició el procedimiento administrativo sancionador contra el Contratista por su supuesta responsabilidad en la resolución del Contrato № 922-2008/ORA de fecha 25 de noviembre de 2008, derivado de la Adjudicación de Menor Cuantía № 0949-2008/GOB.REG.HVCA/CEP, Segunda Convocatoria, por causal atribuible a su parte, infracción tipificada en el literal b) del numeral 1) del artículo 237 del Reglamento. Asimismo, se le requirió para que en el plazo de diez (10) días hábiles cumplieran con presentar su escrito de descargos.</w:t>
      </w:r>
    </w:p>
    <w:p w:rsidR="00214D5E" w:rsidRPr="00214D5E" w:rsidRDefault="00214D5E" w:rsidP="00214D5E">
      <w:pPr>
        <w:pStyle w:val="Prrafodelista"/>
        <w:rPr>
          <w:rFonts w:ascii="Tahoma" w:hAnsi="Tahoma" w:cs="Tahoma"/>
        </w:rPr>
      </w:pPr>
    </w:p>
    <w:p w:rsidR="00214D5E" w:rsidRPr="00214D5E" w:rsidRDefault="00214D5E" w:rsidP="00214D5E">
      <w:pPr>
        <w:pStyle w:val="Textoindependiente"/>
        <w:numPr>
          <w:ilvl w:val="0"/>
          <w:numId w:val="26"/>
        </w:numPr>
        <w:tabs>
          <w:tab w:val="left" w:pos="-2340"/>
        </w:tabs>
        <w:spacing w:after="0"/>
        <w:ind w:left="567" w:hanging="567"/>
        <w:jc w:val="both"/>
        <w:rPr>
          <w:rFonts w:ascii="Tahoma" w:hAnsi="Tahoma" w:cs="Tahoma"/>
          <w:sz w:val="20"/>
          <w:szCs w:val="20"/>
        </w:rPr>
      </w:pPr>
      <w:r w:rsidRPr="00214D5E">
        <w:rPr>
          <w:rFonts w:ascii="Tahoma" w:hAnsi="Tahoma" w:cs="Tahoma"/>
          <w:sz w:val="20"/>
          <w:szCs w:val="20"/>
        </w:rPr>
        <w:lastRenderedPageBreak/>
        <w:t xml:space="preserve">Habiendo transcurrido el plazo otorgado, sin que el Contratista cumpliera con presentar sus descargos respectivos, con decreto de fecha 17 de febrero de 2011, previa razón de Secretaria del Tribunal, se hizo efectivo el apercibimiento de resolver con la documentación obrante en autos y se </w:t>
      </w:r>
      <w:r w:rsidRPr="00214D5E">
        <w:rPr>
          <w:rFonts w:ascii="Tahoma" w:hAnsi="Tahoma" w:cs="Tahoma"/>
          <w:sz w:val="20"/>
          <w:szCs w:val="20"/>
          <w:lang w:val="es-PE"/>
        </w:rPr>
        <w:t xml:space="preserve">se remitió el presente expediente a la Primera Sala del Tribunal, atendiendo a la </w:t>
      </w:r>
      <w:r w:rsidRPr="00214D5E">
        <w:rPr>
          <w:rFonts w:ascii="Tahoma" w:eastAsiaTheme="minorHAnsi" w:hAnsi="Tahoma" w:cs="Tahoma"/>
          <w:color w:val="000000"/>
          <w:sz w:val="20"/>
          <w:szCs w:val="20"/>
          <w:lang w:eastAsia="en-US"/>
        </w:rPr>
        <w:t>Resolución Nº 103-2011-OSCE/PRE</w:t>
      </w:r>
      <w:r w:rsidRPr="00214D5E">
        <w:rPr>
          <w:rFonts w:ascii="Tahoma" w:hAnsi="Tahoma" w:cs="Tahoma"/>
          <w:sz w:val="20"/>
          <w:szCs w:val="20"/>
          <w:lang w:val="es-PE"/>
        </w:rPr>
        <w:t xml:space="preserve"> de fecha 15 de febrero de 2011.</w:t>
      </w:r>
    </w:p>
    <w:p w:rsidR="006E5571" w:rsidRPr="00214D5E" w:rsidRDefault="006E5571" w:rsidP="00E13E6B">
      <w:pPr>
        <w:pStyle w:val="Textoindependiente"/>
        <w:tabs>
          <w:tab w:val="left" w:pos="-2340"/>
          <w:tab w:val="left" w:pos="540"/>
        </w:tabs>
        <w:spacing w:after="0"/>
        <w:ind w:left="180" w:hanging="180"/>
        <w:jc w:val="both"/>
        <w:rPr>
          <w:rFonts w:ascii="Tahoma" w:hAnsi="Tahoma" w:cs="Tahoma"/>
          <w:b/>
          <w:sz w:val="20"/>
          <w:szCs w:val="20"/>
        </w:rPr>
      </w:pPr>
    </w:p>
    <w:p w:rsidR="00E13E6B" w:rsidRPr="00214D5E" w:rsidRDefault="00E13E6B" w:rsidP="00E13E6B">
      <w:pPr>
        <w:pStyle w:val="Textoindependiente"/>
        <w:tabs>
          <w:tab w:val="left" w:pos="-2340"/>
          <w:tab w:val="left" w:pos="540"/>
        </w:tabs>
        <w:spacing w:after="0"/>
        <w:ind w:left="180" w:hanging="180"/>
        <w:jc w:val="both"/>
        <w:rPr>
          <w:rFonts w:ascii="Tahoma" w:hAnsi="Tahoma" w:cs="Tahoma"/>
          <w:b/>
          <w:sz w:val="20"/>
          <w:szCs w:val="20"/>
        </w:rPr>
      </w:pPr>
      <w:r w:rsidRPr="00214D5E">
        <w:rPr>
          <w:rFonts w:ascii="Tahoma" w:hAnsi="Tahoma" w:cs="Tahoma"/>
          <w:b/>
          <w:sz w:val="20"/>
          <w:szCs w:val="20"/>
        </w:rPr>
        <w:tab/>
      </w:r>
      <w:r w:rsidRPr="00214D5E">
        <w:rPr>
          <w:rFonts w:ascii="Tahoma" w:hAnsi="Tahoma" w:cs="Tahoma"/>
          <w:b/>
          <w:sz w:val="20"/>
          <w:szCs w:val="20"/>
        </w:rPr>
        <w:tab/>
        <w:t>FUNDAMENTACIÓN:</w:t>
      </w:r>
    </w:p>
    <w:p w:rsidR="00E13E6B" w:rsidRPr="00214D5E" w:rsidRDefault="00E13E6B" w:rsidP="00E13E6B">
      <w:pPr>
        <w:pStyle w:val="Sangradetextonormal"/>
        <w:spacing w:after="0"/>
        <w:ind w:left="0"/>
        <w:jc w:val="both"/>
        <w:rPr>
          <w:rFonts w:ascii="Tahoma" w:hAnsi="Tahoma" w:cs="Tahoma"/>
          <w:sz w:val="20"/>
          <w:szCs w:val="20"/>
        </w:rPr>
      </w:pPr>
    </w:p>
    <w:p w:rsidR="00214D5E" w:rsidRPr="00214D5E" w:rsidRDefault="00214D5E" w:rsidP="00214D5E">
      <w:pPr>
        <w:pStyle w:val="Prrafodelista"/>
        <w:numPr>
          <w:ilvl w:val="0"/>
          <w:numId w:val="4"/>
        </w:numPr>
        <w:ind w:left="567" w:hanging="567"/>
        <w:jc w:val="both"/>
        <w:rPr>
          <w:rFonts w:ascii="Tahoma" w:hAnsi="Tahoma" w:cs="Tahoma"/>
        </w:rPr>
      </w:pPr>
      <w:r w:rsidRPr="00214D5E">
        <w:rPr>
          <w:rFonts w:ascii="Tahoma" w:hAnsi="Tahoma" w:cs="Tahoma"/>
        </w:rPr>
        <w:t>El numeral 1 del artículo 235 de la Ley № 27444, Ley del Procedimiento Administrativo General, establece que el procedimiento administrativo sancionador se inicia siempre de oficio, bien por propia iniciativa o como consecuencia de una orden superior, petición motivada de otros órganos o entidades o por denuncia.</w:t>
      </w:r>
    </w:p>
    <w:p w:rsidR="00214D5E" w:rsidRPr="00214D5E" w:rsidRDefault="00214D5E" w:rsidP="00214D5E">
      <w:pPr>
        <w:pStyle w:val="Prrafodelista"/>
        <w:ind w:left="567"/>
        <w:rPr>
          <w:rFonts w:ascii="Tahoma" w:hAnsi="Tahoma" w:cs="Tahoma"/>
        </w:rPr>
      </w:pPr>
    </w:p>
    <w:p w:rsidR="00214D5E" w:rsidRPr="00214D5E" w:rsidRDefault="00214D5E" w:rsidP="00214D5E">
      <w:pPr>
        <w:pStyle w:val="Prrafodelista"/>
        <w:numPr>
          <w:ilvl w:val="0"/>
          <w:numId w:val="4"/>
        </w:numPr>
        <w:ind w:left="567" w:hanging="567"/>
        <w:jc w:val="both"/>
        <w:rPr>
          <w:rFonts w:ascii="Tahoma" w:hAnsi="Tahoma" w:cs="Tahoma"/>
        </w:rPr>
      </w:pPr>
      <w:r w:rsidRPr="00214D5E">
        <w:rPr>
          <w:rFonts w:ascii="Tahoma" w:hAnsi="Tahoma" w:cs="Tahoma"/>
        </w:rPr>
        <w:t xml:space="preserve">En ese sentido, el Tribunal es el órgano que tiene a su cargo el conocimiento y resolución de los procedimientos de imposición de sanción de inhabilitación temporal o definitiva para contratar con el Estado, en los casos expresamente tipificados en el artículo </w:t>
      </w:r>
      <w:r w:rsidRPr="00214D5E">
        <w:rPr>
          <w:rFonts w:ascii="Tahoma" w:hAnsi="Tahoma" w:cs="Tahoma"/>
          <w:lang w:val="es-MX"/>
        </w:rPr>
        <w:t>51 y 52 de la Ley de Contrataciones del Estado,</w:t>
      </w:r>
      <w:r w:rsidRPr="00214D5E">
        <w:rPr>
          <w:rFonts w:ascii="Tahoma" w:hAnsi="Tahoma" w:cs="Tahoma"/>
        </w:rPr>
        <w:t xml:space="preserve"> aprobada mediante Decreto Legislativo № 1017,</w:t>
      </w:r>
      <w:r w:rsidRPr="00214D5E">
        <w:rPr>
          <w:rFonts w:ascii="Tahoma" w:hAnsi="Tahoma" w:cs="Tahoma"/>
          <w:lang w:val="es-MX"/>
        </w:rPr>
        <w:t xml:space="preserve"> </w:t>
      </w:r>
      <w:r w:rsidRPr="00214D5E">
        <w:rPr>
          <w:rFonts w:ascii="Tahoma" w:hAnsi="Tahoma" w:cs="Tahoma"/>
        </w:rPr>
        <w:t>norma aplicable al momento de la presunta comisión de la infracción</w:t>
      </w:r>
      <w:r w:rsidRPr="00214D5E">
        <w:rPr>
          <w:rFonts w:ascii="Tahoma" w:hAnsi="Tahoma" w:cs="Tahoma"/>
          <w:lang w:val="es-MX"/>
        </w:rPr>
        <w:t xml:space="preserve">, y en los casos expresamente previstos en el artículo 237 de su Reglamento, aprobado mediante Decreto Supremo </w:t>
      </w:r>
      <w:r w:rsidRPr="00214D5E">
        <w:rPr>
          <w:rFonts w:ascii="Tahoma" w:hAnsi="Tahoma" w:cs="Tahoma"/>
        </w:rPr>
        <w:t xml:space="preserve">№ 184-2008-EF, </w:t>
      </w:r>
      <w:r w:rsidRPr="00214D5E">
        <w:rPr>
          <w:rFonts w:ascii="Tahoma" w:hAnsi="Tahoma" w:cs="Tahoma"/>
          <w:lang w:val="es-MX"/>
        </w:rPr>
        <w:t>sin perjuicio de las acciones legales que les corresponda adoptar a las Entidades, dentro de sus respectivas atribuciones, en salvaguarda de sus intereses</w:t>
      </w:r>
      <w:r w:rsidRPr="00214D5E">
        <w:rPr>
          <w:rFonts w:ascii="Tahoma" w:hAnsi="Tahoma" w:cs="Tahoma"/>
        </w:rPr>
        <w:t>.</w:t>
      </w:r>
    </w:p>
    <w:p w:rsidR="00214D5E" w:rsidRPr="00214D5E" w:rsidRDefault="00214D5E" w:rsidP="00214D5E">
      <w:pPr>
        <w:pStyle w:val="Prrafodelista"/>
        <w:rPr>
          <w:rFonts w:ascii="Tahoma" w:hAnsi="Tahoma" w:cs="Tahoma"/>
        </w:rPr>
      </w:pPr>
    </w:p>
    <w:p w:rsidR="00214D5E" w:rsidRPr="00214D5E" w:rsidRDefault="00214D5E" w:rsidP="00214D5E">
      <w:pPr>
        <w:pStyle w:val="Prrafodelista"/>
        <w:numPr>
          <w:ilvl w:val="0"/>
          <w:numId w:val="4"/>
        </w:numPr>
        <w:ind w:left="567" w:hanging="567"/>
        <w:jc w:val="both"/>
        <w:rPr>
          <w:rFonts w:ascii="Tahoma" w:hAnsi="Tahoma" w:cs="Tahoma"/>
        </w:rPr>
      </w:pPr>
      <w:r w:rsidRPr="00214D5E">
        <w:rPr>
          <w:rFonts w:ascii="Tahoma" w:hAnsi="Tahoma" w:cs="Tahoma"/>
        </w:rPr>
        <w:t>El presente caso está referido a la supuesta responsabilidad del Contratista por el incumplimiento injustificado de las obligaciones del Contrato № 922-2008/ORA de fecha 25 de noviembre de 2008, derivado de la Adjudicación de Menor Cuantía № 0949-2008/GOB.REG.HVCA/CEP, Segunda Convocatoria, supuesto de hecho del tipo legal previsto en el literal b) del numeral 51.1 del artículo 51 de la Ley</w:t>
      </w:r>
      <w:r w:rsidRPr="00214D5E">
        <w:rPr>
          <w:rStyle w:val="Refdenotaalpie"/>
          <w:rFonts w:ascii="Tahoma" w:hAnsi="Tahoma" w:cs="Tahoma"/>
        </w:rPr>
        <w:footnoteReference w:id="2"/>
      </w:r>
      <w:r w:rsidRPr="00214D5E">
        <w:rPr>
          <w:rFonts w:ascii="Tahoma" w:hAnsi="Tahoma" w:cs="Tahoma"/>
        </w:rPr>
        <w:t xml:space="preserve"> en concordancia con el literal b) del numeral 1) del artículo 237 del Reglamento</w:t>
      </w:r>
      <w:r w:rsidRPr="00214D5E">
        <w:rPr>
          <w:rStyle w:val="Refdenotaalpie"/>
          <w:rFonts w:ascii="Tahoma" w:hAnsi="Tahoma" w:cs="Tahoma"/>
        </w:rPr>
        <w:footnoteReference w:id="3"/>
      </w:r>
      <w:r w:rsidRPr="00214D5E">
        <w:rPr>
          <w:rFonts w:ascii="Tahoma" w:hAnsi="Tahoma" w:cs="Tahoma"/>
        </w:rPr>
        <w:t>, norma vigente al momento de suscitado el hecho imputado.</w:t>
      </w:r>
    </w:p>
    <w:p w:rsidR="00214D5E" w:rsidRPr="00214D5E" w:rsidRDefault="00214D5E" w:rsidP="00214D5E">
      <w:pPr>
        <w:pStyle w:val="Prrafodelista"/>
        <w:rPr>
          <w:rFonts w:ascii="Tahoma" w:hAnsi="Tahoma" w:cs="Tahoma"/>
        </w:rPr>
      </w:pPr>
    </w:p>
    <w:p w:rsidR="00214D5E" w:rsidRPr="00214D5E" w:rsidRDefault="00214D5E" w:rsidP="00214D5E">
      <w:pPr>
        <w:pStyle w:val="Prrafodelista"/>
        <w:numPr>
          <w:ilvl w:val="0"/>
          <w:numId w:val="4"/>
        </w:numPr>
        <w:ind w:left="567" w:hanging="567"/>
        <w:jc w:val="both"/>
        <w:rPr>
          <w:rFonts w:ascii="Tahoma" w:hAnsi="Tahoma" w:cs="Tahoma"/>
        </w:rPr>
      </w:pPr>
      <w:r w:rsidRPr="00214D5E">
        <w:rPr>
          <w:rFonts w:ascii="Tahoma" w:hAnsi="Tahoma" w:cs="Tahoma"/>
        </w:rPr>
        <w:t>Al respecto, la infracción tipificada en el literal b) del numeral 51.1 del artículo 51 de la Ley en concordancia con el literal b) del numeral 1) del artículo 237 del Reglamento establece como supuesto de hecho indispensable para su configuración, la resolución del contrato, orden de compra o de servicios, según corresponda, por causal atribuible al Contratista.</w:t>
      </w:r>
    </w:p>
    <w:p w:rsidR="00214D5E" w:rsidRPr="00214D5E" w:rsidRDefault="00214D5E" w:rsidP="00214D5E">
      <w:pPr>
        <w:pStyle w:val="Prrafodelista"/>
        <w:rPr>
          <w:rFonts w:ascii="Tahoma" w:hAnsi="Tahoma" w:cs="Tahoma"/>
        </w:rPr>
      </w:pPr>
    </w:p>
    <w:p w:rsidR="00214D5E" w:rsidRPr="00214D5E" w:rsidRDefault="00214D5E" w:rsidP="00214D5E">
      <w:pPr>
        <w:pStyle w:val="Prrafodelista"/>
        <w:numPr>
          <w:ilvl w:val="0"/>
          <w:numId w:val="4"/>
        </w:numPr>
        <w:ind w:left="567" w:hanging="567"/>
        <w:jc w:val="both"/>
        <w:rPr>
          <w:rFonts w:ascii="Tahoma" w:hAnsi="Tahoma" w:cs="Tahoma"/>
        </w:rPr>
      </w:pPr>
      <w:r w:rsidRPr="00214D5E">
        <w:rPr>
          <w:rFonts w:ascii="Tahoma" w:hAnsi="Tahoma" w:cs="Tahoma"/>
        </w:rPr>
        <w:lastRenderedPageBreak/>
        <w:t>Ahora, si bien la supuesta infracción fue cometida  al momento en que se encontraba vigente el Decreto Supremo № 184-2008-EF, para verificar si la resolución del contrato se llevó a cabo válidamente, debe tenerse en cuenta la normativa vigente a la fecha de la convocatoria del proceso de selección del cual deriva la denuncia materia de análisis, debido a que el Contratista sometió su actuación a la normativa vigente en dicho periodo; en ese sentido, teniendo en cuenta que la Adjudicación de Menor Cuantía № 0949-2008/GOB.REG.HVCA/CEP, fue convocada el 13 de noviembre de 2008, fecha en la cual aún se encontraba vigente el Texto Único Ordenado de la Ley de Contrataciones y Adquisiciones de Estado, aprobado mediante Decreto Supremo № 083-2004-PCM; y su Reglamento, aprobado por el Decreto Supremo Nº 084-2004-PCM; en tal sentido, debe colegirse que para el análisis de la validez del procedimiento de resolución contractual se aplicará dicha normativa.</w:t>
      </w:r>
    </w:p>
    <w:p w:rsidR="00214D5E" w:rsidRPr="00214D5E" w:rsidRDefault="00214D5E" w:rsidP="00214D5E">
      <w:pPr>
        <w:pStyle w:val="Prrafodelista"/>
        <w:rPr>
          <w:rFonts w:ascii="Tahoma" w:hAnsi="Tahoma" w:cs="Tahoma"/>
        </w:rPr>
      </w:pPr>
    </w:p>
    <w:p w:rsidR="00214D5E" w:rsidRPr="00214D5E" w:rsidRDefault="00214D5E" w:rsidP="00214D5E">
      <w:pPr>
        <w:pStyle w:val="Prrafodelista"/>
        <w:numPr>
          <w:ilvl w:val="0"/>
          <w:numId w:val="4"/>
        </w:numPr>
        <w:ind w:left="567" w:hanging="567"/>
        <w:jc w:val="both"/>
        <w:rPr>
          <w:rFonts w:ascii="Tahoma" w:hAnsi="Tahoma" w:cs="Tahoma"/>
        </w:rPr>
      </w:pPr>
      <w:r w:rsidRPr="00214D5E">
        <w:rPr>
          <w:rFonts w:ascii="Tahoma" w:hAnsi="Tahoma" w:cs="Tahoma"/>
        </w:rPr>
        <w:t xml:space="preserve">Al respecto, el inciso c) del artículo 40 del Texto Único Ordenado de la Ley de Contrataciones y Adquisiciones de Estado, aprobado mediante Decreto Supremo № 083-2004-PCM, así como el numeral 1) del artículo 225 de su Reglamento, dispone que la Entidad podrá resolver el contrato, si es que el contratista incumple injustificadamente sus obligaciones contractuales, legales o reglamentarias, pese a haber sido requerido para ello. En ese sentido, se debe tener presente que, para la configuración del supuesto de hecho de la norma que contiene la infracción imputada en el literal b) del numeral 1 del artículo 237 del Reglamento, se requiere previamente acreditar que el contrato haya sido resuelto por causa atribuible al contratista, y que la Entidad haya observado la formalidad del procedimiento de resolución de contrato prevista en el artículo 226 del Reglamento. </w:t>
      </w:r>
    </w:p>
    <w:p w:rsidR="00214D5E" w:rsidRPr="00214D5E" w:rsidRDefault="00214D5E" w:rsidP="00214D5E">
      <w:pPr>
        <w:pStyle w:val="Prrafodelista"/>
        <w:rPr>
          <w:rFonts w:ascii="Tahoma" w:hAnsi="Tahoma" w:cs="Tahoma"/>
        </w:rPr>
      </w:pPr>
    </w:p>
    <w:p w:rsidR="00214D5E" w:rsidRPr="00214D5E" w:rsidRDefault="00214D5E" w:rsidP="00214D5E">
      <w:pPr>
        <w:pStyle w:val="Prrafodelista"/>
        <w:numPr>
          <w:ilvl w:val="0"/>
          <w:numId w:val="4"/>
        </w:numPr>
        <w:ind w:left="567" w:hanging="567"/>
        <w:jc w:val="both"/>
        <w:rPr>
          <w:rFonts w:ascii="Tahoma" w:hAnsi="Tahoma" w:cs="Tahoma"/>
        </w:rPr>
      </w:pPr>
      <w:r w:rsidRPr="00214D5E">
        <w:rPr>
          <w:rFonts w:ascii="Tahoma" w:hAnsi="Tahoma" w:cs="Tahoma"/>
        </w:rPr>
        <w:t>Sobre el particular, el artículo 226 del Reglamento establece que en caso de incumplimiento contractual de una de las partes involucradas, la parte que resulte perjudicada con tal hecho requerirá a la otra notarialmente para que satisfaga sus obligaciones en un plazo no mayor de cinco (5) días, bajo apercibimiento de resolver el contrato.  Dependiendo del monto involucrado y de la complejidad, envergadura o sofisticación de la adquisición o contratación, la Entidad podrá establecer plazos mayores, los cuales no superarán en ningún caso mayor los quince (15) días, plazo este último que se otorgará necesariamente en el caso de obras. De continuar el incumplimiento contractual, la citada disposición reglamentaria precisa que la parte perjudicada comunicará notarialmente la resolución total o parcial del contrato.</w:t>
      </w:r>
    </w:p>
    <w:p w:rsidR="00214D5E" w:rsidRPr="00214D5E" w:rsidRDefault="00214D5E" w:rsidP="00214D5E">
      <w:pPr>
        <w:pStyle w:val="Prrafodelista"/>
        <w:rPr>
          <w:rFonts w:ascii="Tahoma" w:hAnsi="Tahoma" w:cs="Tahoma"/>
        </w:rPr>
      </w:pPr>
    </w:p>
    <w:p w:rsidR="00214D5E" w:rsidRPr="00214D5E" w:rsidRDefault="00214D5E" w:rsidP="00214D5E">
      <w:pPr>
        <w:pStyle w:val="Prrafodelista"/>
        <w:numPr>
          <w:ilvl w:val="0"/>
          <w:numId w:val="4"/>
        </w:numPr>
        <w:ind w:left="567" w:hanging="567"/>
        <w:jc w:val="both"/>
        <w:rPr>
          <w:rFonts w:ascii="Tahoma" w:hAnsi="Tahoma" w:cs="Tahoma"/>
        </w:rPr>
      </w:pPr>
      <w:r w:rsidRPr="00214D5E">
        <w:rPr>
          <w:rFonts w:ascii="Tahoma" w:hAnsi="Tahoma" w:cs="Tahoma"/>
        </w:rPr>
        <w:t>De la lectura de las disposiciones glosadas y conforme a los criterios utilizados por el Tribunal en anteriores oportunidades, para que la infracción imputada se configure, es menester que la Entidad, efectivamente, haya resuelto el contrato conforme al procedimiento descrito. De esta manera, aún en los casos en los que se hayan generado incumplimientos contractuales, si se logra verificar que la Entidad no ha resuelto el contrato en observancia de las normas citadas, la conducta no será pasible de sanción.</w:t>
      </w:r>
    </w:p>
    <w:p w:rsidR="00214D5E" w:rsidRPr="00214D5E" w:rsidRDefault="00214D5E" w:rsidP="00214D5E">
      <w:pPr>
        <w:pStyle w:val="Prrafodelista"/>
        <w:rPr>
          <w:rFonts w:ascii="Tahoma" w:hAnsi="Tahoma" w:cs="Tahoma"/>
        </w:rPr>
      </w:pPr>
    </w:p>
    <w:p w:rsidR="00214D5E" w:rsidRPr="00214D5E" w:rsidRDefault="00214D5E" w:rsidP="00214D5E">
      <w:pPr>
        <w:pStyle w:val="Prrafodelista"/>
        <w:numPr>
          <w:ilvl w:val="0"/>
          <w:numId w:val="4"/>
        </w:numPr>
        <w:ind w:left="567" w:hanging="567"/>
        <w:jc w:val="both"/>
        <w:rPr>
          <w:rFonts w:ascii="Tahoma" w:hAnsi="Tahoma" w:cs="Tahoma"/>
        </w:rPr>
      </w:pPr>
      <w:r w:rsidRPr="00214D5E">
        <w:rPr>
          <w:rFonts w:ascii="Tahoma" w:hAnsi="Tahoma" w:cs="Tahoma"/>
        </w:rPr>
        <w:lastRenderedPageBreak/>
        <w:t>Este criterio, además, ha sido recogido en el Acuerdo de Sala Plena № 018/010 del 4 de setiembre de 2002</w:t>
      </w:r>
      <w:r w:rsidRPr="00214D5E">
        <w:rPr>
          <w:rStyle w:val="Refdenotaalpie"/>
          <w:rFonts w:ascii="Tahoma" w:hAnsi="Tahoma" w:cs="Tahoma"/>
        </w:rPr>
        <w:footnoteReference w:id="4"/>
      </w:r>
      <w:r w:rsidRPr="00214D5E">
        <w:rPr>
          <w:rFonts w:ascii="Tahoma" w:hAnsi="Tahoma" w:cs="Tahoma"/>
        </w:rPr>
        <w:t>, en el que el Tribunal expresamente dispuso que, para la imposición de sanción por la causal que nos ocupa, las Entidades denunciantes deberán presentar la documentación que acredite haber dado cumplimiento al procedimiento de resolución antes expuesto, es decir el envío de la carta notarial de requerimiento previo al Contratista para el cumplimiento de la obligación y la carta notarial mediante la cual se le comunica el Acuerdo o Resolución que resuelve el contrato, agregando que en caso de no habérsele requerido o cuando, habiendo sido solicitados los documentos acreditativos por el Tribunal, estos no hubiesen sido presentados, se declarará no ha lugar al inicio del procedimiento administrativo sancionador, disponiéndose el archivamiento del expediente, al haberse incumplido con el debido procedimiento.</w:t>
      </w:r>
    </w:p>
    <w:p w:rsidR="00214D5E" w:rsidRPr="00214D5E" w:rsidRDefault="00214D5E" w:rsidP="00214D5E">
      <w:pPr>
        <w:pStyle w:val="Prrafodelista"/>
        <w:rPr>
          <w:rFonts w:ascii="Tahoma" w:hAnsi="Tahoma" w:cs="Tahoma"/>
        </w:rPr>
      </w:pPr>
    </w:p>
    <w:p w:rsidR="00214D5E" w:rsidRPr="00214D5E" w:rsidRDefault="00214D5E" w:rsidP="00214D5E">
      <w:pPr>
        <w:pStyle w:val="Prrafodelista"/>
        <w:numPr>
          <w:ilvl w:val="0"/>
          <w:numId w:val="4"/>
        </w:numPr>
        <w:ind w:left="567" w:hanging="567"/>
        <w:jc w:val="both"/>
        <w:rPr>
          <w:rFonts w:ascii="Tahoma" w:hAnsi="Tahoma" w:cs="Tahoma"/>
        </w:rPr>
      </w:pPr>
      <w:r w:rsidRPr="00214D5E">
        <w:rPr>
          <w:rFonts w:ascii="Tahoma" w:hAnsi="Tahoma" w:cs="Tahoma"/>
        </w:rPr>
        <w:t>Sobre el particular, de la documentación obrante en autos, se observa que la Entidad remitió al Contratista, vía conducto notarial, dos (2) comunicaciones:</w:t>
      </w:r>
    </w:p>
    <w:p w:rsidR="00214D5E" w:rsidRPr="00214D5E" w:rsidRDefault="00214D5E" w:rsidP="00214D5E">
      <w:pPr>
        <w:pStyle w:val="Prrafodelista"/>
        <w:rPr>
          <w:rFonts w:ascii="Tahoma" w:hAnsi="Tahoma" w:cs="Tahoma"/>
        </w:rPr>
      </w:pPr>
    </w:p>
    <w:p w:rsidR="00214D5E" w:rsidRPr="00214D5E" w:rsidRDefault="00214D5E" w:rsidP="00214D5E">
      <w:pPr>
        <w:pStyle w:val="Textoindependiente"/>
        <w:numPr>
          <w:ilvl w:val="0"/>
          <w:numId w:val="27"/>
        </w:numPr>
        <w:tabs>
          <w:tab w:val="clear" w:pos="360"/>
          <w:tab w:val="left" w:pos="-2340"/>
          <w:tab w:val="num" w:pos="1134"/>
        </w:tabs>
        <w:spacing w:after="0"/>
        <w:ind w:left="1134" w:hanging="425"/>
        <w:jc w:val="both"/>
        <w:rPr>
          <w:rFonts w:ascii="Tahoma" w:hAnsi="Tahoma" w:cs="Tahoma"/>
          <w:sz w:val="20"/>
          <w:szCs w:val="20"/>
        </w:rPr>
      </w:pPr>
      <w:r w:rsidRPr="00214D5E">
        <w:rPr>
          <w:rFonts w:ascii="Tahoma" w:hAnsi="Tahoma" w:cs="Tahoma"/>
          <w:sz w:val="20"/>
          <w:szCs w:val="20"/>
          <w:lang w:val="es-PE"/>
        </w:rPr>
        <w:t>Mediante Carta Notarial № 117-2010/GOB.REG-HVCA/ORA-OL de fecha 15 de marzo de 2010, diligenciada el 16 del mismo mes y año, la Entidad otorgó al Contratista un plazo de tres (3) días para que cumpla sus obligaciones contractuales derivadas del Contrato № 922-2008/ORA, bajo apercibimiento de resolver el referido contrato.</w:t>
      </w:r>
    </w:p>
    <w:p w:rsidR="00214D5E" w:rsidRPr="00214D5E" w:rsidRDefault="00214D5E" w:rsidP="00214D5E">
      <w:pPr>
        <w:pStyle w:val="Textoindependiente"/>
        <w:tabs>
          <w:tab w:val="left" w:pos="-2340"/>
        </w:tabs>
        <w:ind w:left="1134"/>
        <w:rPr>
          <w:rFonts w:ascii="Tahoma" w:hAnsi="Tahoma" w:cs="Tahoma"/>
          <w:sz w:val="20"/>
          <w:szCs w:val="20"/>
        </w:rPr>
      </w:pPr>
    </w:p>
    <w:p w:rsidR="00214D5E" w:rsidRPr="00214D5E" w:rsidRDefault="00214D5E" w:rsidP="00214D5E">
      <w:pPr>
        <w:pStyle w:val="Textoindependiente"/>
        <w:numPr>
          <w:ilvl w:val="0"/>
          <w:numId w:val="27"/>
        </w:numPr>
        <w:tabs>
          <w:tab w:val="clear" w:pos="360"/>
          <w:tab w:val="left" w:pos="-2340"/>
          <w:tab w:val="num" w:pos="1134"/>
        </w:tabs>
        <w:spacing w:after="0"/>
        <w:ind w:left="1134" w:hanging="425"/>
        <w:jc w:val="both"/>
        <w:rPr>
          <w:rFonts w:ascii="Tahoma" w:hAnsi="Tahoma" w:cs="Tahoma"/>
          <w:sz w:val="20"/>
          <w:szCs w:val="20"/>
        </w:rPr>
      </w:pPr>
      <w:r w:rsidRPr="00214D5E">
        <w:rPr>
          <w:rFonts w:ascii="Tahoma" w:hAnsi="Tahoma" w:cs="Tahoma"/>
          <w:sz w:val="20"/>
          <w:szCs w:val="20"/>
        </w:rPr>
        <w:t xml:space="preserve">Habiéndose vencido el plazo otorgado, sin que el Contratista cumpliera con los requerimientos formulados, a través de la </w:t>
      </w:r>
      <w:r w:rsidRPr="00214D5E">
        <w:rPr>
          <w:rFonts w:ascii="Tahoma" w:hAnsi="Tahoma" w:cs="Tahoma"/>
          <w:sz w:val="20"/>
          <w:szCs w:val="20"/>
          <w:lang w:val="es-PE"/>
        </w:rPr>
        <w:t xml:space="preserve">Carta Notarial № 046-2010/GOB.REG-HVCA/GGR-ORA de fecha 23 de marzo de 2010, diligenciada el 25 del mismo mes y año, la Entidad </w:t>
      </w:r>
      <w:r w:rsidRPr="00214D5E">
        <w:rPr>
          <w:rFonts w:ascii="Tahoma" w:hAnsi="Tahoma" w:cs="Tahoma"/>
          <w:sz w:val="20"/>
          <w:szCs w:val="20"/>
        </w:rPr>
        <w:t>comunicó al Contratista la resolución del vínculo contractual, por causal atribuible a su parte.</w:t>
      </w:r>
    </w:p>
    <w:p w:rsidR="00214D5E" w:rsidRPr="00214D5E" w:rsidRDefault="00214D5E" w:rsidP="00214D5E">
      <w:pPr>
        <w:pStyle w:val="Prrafodelista"/>
        <w:rPr>
          <w:rFonts w:ascii="Tahoma" w:hAnsi="Tahoma" w:cs="Tahoma"/>
        </w:rPr>
      </w:pPr>
    </w:p>
    <w:p w:rsidR="00214D5E" w:rsidRPr="00214D5E" w:rsidRDefault="00214D5E" w:rsidP="00214D5E">
      <w:pPr>
        <w:pStyle w:val="Textoindependiente"/>
        <w:widowControl w:val="0"/>
        <w:numPr>
          <w:ilvl w:val="0"/>
          <w:numId w:val="4"/>
        </w:numPr>
        <w:suppressAutoHyphens/>
        <w:spacing w:after="0"/>
        <w:ind w:left="567" w:hanging="567"/>
        <w:jc w:val="both"/>
        <w:rPr>
          <w:rFonts w:ascii="Tahoma" w:hAnsi="Tahoma" w:cs="Tahoma"/>
          <w:sz w:val="20"/>
          <w:szCs w:val="20"/>
        </w:rPr>
      </w:pPr>
      <w:r w:rsidRPr="00214D5E">
        <w:rPr>
          <w:rFonts w:ascii="Tahoma" w:hAnsi="Tahoma" w:cs="Tahoma"/>
          <w:sz w:val="20"/>
          <w:szCs w:val="20"/>
        </w:rPr>
        <w:t>En tal sentido, se verifica que la Entidad ha observado la formalidad establecida en el artículo 225 y 226 del Reglamento, requisito indispensable de verificación del cumplimiento del debido procedimiento de resolución de contrato, a fin que la acción del Contratista al haber incumplido sus obligaciones contractuales -que dio lugar a la resolución del contrato por causa atribuible a su parte- sea típica.</w:t>
      </w:r>
    </w:p>
    <w:p w:rsidR="00214D5E" w:rsidRPr="00214D5E" w:rsidRDefault="00214D5E" w:rsidP="00214D5E">
      <w:pPr>
        <w:pStyle w:val="Prrafodelista"/>
        <w:rPr>
          <w:rFonts w:ascii="Tahoma" w:hAnsi="Tahoma" w:cs="Tahoma"/>
        </w:rPr>
      </w:pPr>
    </w:p>
    <w:p w:rsidR="00214D5E" w:rsidRPr="00214D5E" w:rsidRDefault="00214D5E" w:rsidP="00214D5E">
      <w:pPr>
        <w:pStyle w:val="Textoindependiente"/>
        <w:widowControl w:val="0"/>
        <w:numPr>
          <w:ilvl w:val="0"/>
          <w:numId w:val="4"/>
        </w:numPr>
        <w:suppressAutoHyphens/>
        <w:spacing w:after="0"/>
        <w:ind w:left="567" w:hanging="567"/>
        <w:jc w:val="both"/>
        <w:rPr>
          <w:rFonts w:ascii="Tahoma" w:hAnsi="Tahoma" w:cs="Tahoma"/>
          <w:sz w:val="20"/>
          <w:szCs w:val="20"/>
        </w:rPr>
      </w:pPr>
      <w:r w:rsidRPr="00214D5E">
        <w:rPr>
          <w:rFonts w:ascii="Tahoma" w:hAnsi="Tahoma" w:cs="Tahoma"/>
          <w:sz w:val="20"/>
          <w:szCs w:val="20"/>
        </w:rPr>
        <w:t>Al respecto, es importante señalar que según lo informado por la Entidad en su Oficio № 688-2010/GOB.REG-HVCA/GGR-ORA de fecha 26 de noviembre de 2010, la resolución del contrato no fue discutida por el Contratista en vía de conciliación o arbitraje dentro de los plazos indicados en el artículo 170 del Reglamento, por lo que, en atención a lo dispuesto en la citada norma, la misma quedó consentida.</w:t>
      </w:r>
    </w:p>
    <w:p w:rsidR="00214D5E" w:rsidRPr="00214D5E" w:rsidRDefault="00214D5E" w:rsidP="00214D5E">
      <w:pPr>
        <w:pStyle w:val="Prrafodelista"/>
        <w:rPr>
          <w:rFonts w:ascii="Tahoma" w:hAnsi="Tahoma" w:cs="Tahoma"/>
        </w:rPr>
      </w:pPr>
    </w:p>
    <w:p w:rsidR="00214D5E" w:rsidRPr="00214D5E" w:rsidRDefault="00214D5E" w:rsidP="00214D5E">
      <w:pPr>
        <w:pStyle w:val="Textoindependiente"/>
        <w:widowControl w:val="0"/>
        <w:numPr>
          <w:ilvl w:val="0"/>
          <w:numId w:val="4"/>
        </w:numPr>
        <w:suppressAutoHyphens/>
        <w:spacing w:after="0"/>
        <w:ind w:left="567" w:hanging="567"/>
        <w:jc w:val="both"/>
        <w:rPr>
          <w:rFonts w:ascii="Tahoma" w:hAnsi="Tahoma" w:cs="Tahoma"/>
          <w:sz w:val="20"/>
          <w:szCs w:val="20"/>
        </w:rPr>
      </w:pPr>
      <w:r w:rsidRPr="00214D5E">
        <w:rPr>
          <w:rFonts w:ascii="Tahoma" w:hAnsi="Tahoma" w:cs="Tahoma"/>
          <w:sz w:val="20"/>
          <w:szCs w:val="20"/>
        </w:rPr>
        <w:t>En consecuencia, corresponde a este colegiado determinar si la resolución del contrato se originó por causa imputable al Contratista o no.</w:t>
      </w:r>
    </w:p>
    <w:p w:rsidR="00214D5E" w:rsidRPr="00214D5E" w:rsidRDefault="00214D5E" w:rsidP="00214D5E">
      <w:pPr>
        <w:pStyle w:val="Prrafodelista"/>
        <w:rPr>
          <w:rFonts w:ascii="Tahoma" w:hAnsi="Tahoma" w:cs="Tahoma"/>
        </w:rPr>
      </w:pPr>
    </w:p>
    <w:p w:rsidR="00214D5E" w:rsidRPr="00214D5E" w:rsidRDefault="00214D5E" w:rsidP="00214D5E">
      <w:pPr>
        <w:pStyle w:val="Textoindependiente"/>
        <w:widowControl w:val="0"/>
        <w:numPr>
          <w:ilvl w:val="0"/>
          <w:numId w:val="4"/>
        </w:numPr>
        <w:suppressAutoHyphens/>
        <w:spacing w:after="0"/>
        <w:ind w:left="567" w:hanging="567"/>
        <w:jc w:val="both"/>
        <w:rPr>
          <w:rFonts w:ascii="Tahoma" w:hAnsi="Tahoma" w:cs="Tahoma"/>
          <w:sz w:val="20"/>
          <w:szCs w:val="20"/>
        </w:rPr>
      </w:pPr>
      <w:r w:rsidRPr="00214D5E">
        <w:rPr>
          <w:rFonts w:ascii="Tahoma" w:hAnsi="Tahoma" w:cs="Tahoma"/>
          <w:sz w:val="20"/>
          <w:szCs w:val="20"/>
        </w:rPr>
        <w:t xml:space="preserve">Ahora bien, conforme a lo establecido en el artículo 49 de la Ley, los contratistas están </w:t>
      </w:r>
      <w:r w:rsidRPr="00214D5E">
        <w:rPr>
          <w:rFonts w:ascii="Tahoma" w:hAnsi="Tahoma" w:cs="Tahoma"/>
          <w:sz w:val="20"/>
          <w:szCs w:val="20"/>
        </w:rPr>
        <w:lastRenderedPageBreak/>
        <w:t>obligados a cumplir cabalmente con lo ofrecido en su propuesta y en cualquier manifestación formal documentada, que hayan aportado adicionalmente en el curso del proceso de selección o en la formalización del contrato. En esta misma línea, el artículo 142 del Reglamento prevé que el contrato es obligatorio para las partes que lo suscriben.</w:t>
      </w:r>
    </w:p>
    <w:p w:rsidR="00214D5E" w:rsidRPr="00214D5E" w:rsidRDefault="00214D5E" w:rsidP="00214D5E">
      <w:pPr>
        <w:pStyle w:val="Prrafodelista"/>
        <w:rPr>
          <w:rFonts w:ascii="Tahoma" w:hAnsi="Tahoma" w:cs="Tahoma"/>
        </w:rPr>
      </w:pPr>
    </w:p>
    <w:p w:rsidR="00214D5E" w:rsidRPr="00214D5E" w:rsidRDefault="00214D5E" w:rsidP="00214D5E">
      <w:pPr>
        <w:pStyle w:val="Prrafodelista"/>
        <w:numPr>
          <w:ilvl w:val="0"/>
          <w:numId w:val="4"/>
        </w:numPr>
        <w:ind w:left="567" w:hanging="567"/>
        <w:jc w:val="both"/>
        <w:rPr>
          <w:rFonts w:ascii="Tahoma" w:hAnsi="Tahoma" w:cs="Tahoma"/>
        </w:rPr>
      </w:pPr>
      <w:r w:rsidRPr="00214D5E">
        <w:rPr>
          <w:rFonts w:ascii="Tahoma" w:hAnsi="Tahoma" w:cs="Tahoma"/>
        </w:rPr>
        <w:t xml:space="preserve">En el presente caso, se desprende de los actuados que el Consorcio, pese a haber tomado conocimiento de los requerimientos realizados por la Entidad, referidos al incumplimiento de sus obligaciones contractuales, no habría cumplido internar los bienes objeto del </w:t>
      </w:r>
      <w:r w:rsidRPr="00214D5E">
        <w:rPr>
          <w:rFonts w:ascii="Tahoma" w:hAnsi="Tahoma" w:cs="Tahoma"/>
          <w:lang w:val="es-PE"/>
        </w:rPr>
        <w:t>del Contrato № 922-2008/ORA</w:t>
      </w:r>
      <w:r w:rsidRPr="00214D5E">
        <w:rPr>
          <w:rFonts w:ascii="Tahoma" w:hAnsi="Tahoma" w:cs="Tahoma"/>
        </w:rPr>
        <w:t xml:space="preserve"> de 25 de noviembre de 2008, hecho que ha desencadenado la resolución del mismo.</w:t>
      </w:r>
    </w:p>
    <w:p w:rsidR="00214D5E" w:rsidRPr="00214D5E" w:rsidRDefault="00214D5E" w:rsidP="00214D5E">
      <w:pPr>
        <w:pStyle w:val="Prrafodelista"/>
        <w:rPr>
          <w:rFonts w:ascii="Tahoma" w:hAnsi="Tahoma" w:cs="Tahoma"/>
        </w:rPr>
      </w:pPr>
    </w:p>
    <w:p w:rsidR="00214D5E" w:rsidRPr="00214D5E" w:rsidRDefault="00214D5E" w:rsidP="00214D5E">
      <w:pPr>
        <w:pStyle w:val="Prrafodelista"/>
        <w:numPr>
          <w:ilvl w:val="0"/>
          <w:numId w:val="4"/>
        </w:numPr>
        <w:tabs>
          <w:tab w:val="left" w:pos="540"/>
        </w:tabs>
        <w:ind w:left="567" w:hanging="567"/>
        <w:jc w:val="both"/>
        <w:rPr>
          <w:rFonts w:ascii="Tahoma" w:hAnsi="Tahoma" w:cs="Tahoma"/>
        </w:rPr>
      </w:pPr>
      <w:r w:rsidRPr="00214D5E">
        <w:rPr>
          <w:rFonts w:ascii="Tahoma" w:hAnsi="Tahoma" w:cs="Tahoma"/>
        </w:rPr>
        <w:t>Sobre el particular, en principio es pertinente tener en consideración que el Contratista tenía la obligación de internar los agregados para el proyecto de instalación de jaulas flotantes para la producción intensiva de truchas en las Lagunas de Minacocha y Tanseroccocha Huando Tansiri, en el plazo de cinco (05) días calendario, a partir del día siguiente de la suscripción del contrato, a tenor de la Cláusula Cuarta del citado contrato.</w:t>
      </w:r>
    </w:p>
    <w:p w:rsidR="00214D5E" w:rsidRPr="00214D5E" w:rsidRDefault="00214D5E" w:rsidP="00214D5E">
      <w:pPr>
        <w:pStyle w:val="Prrafodelista"/>
        <w:rPr>
          <w:rFonts w:ascii="Tahoma" w:hAnsi="Tahoma" w:cs="Tahoma"/>
        </w:rPr>
      </w:pPr>
    </w:p>
    <w:p w:rsidR="00214D5E" w:rsidRPr="00214D5E" w:rsidRDefault="00214D5E" w:rsidP="00214D5E">
      <w:pPr>
        <w:pStyle w:val="Sangradetextonormal"/>
        <w:tabs>
          <w:tab w:val="left" w:pos="540"/>
        </w:tabs>
        <w:spacing w:after="0"/>
        <w:ind w:left="540"/>
        <w:jc w:val="both"/>
        <w:rPr>
          <w:rFonts w:ascii="Tahoma" w:hAnsi="Tahoma" w:cs="Tahoma"/>
          <w:sz w:val="20"/>
          <w:szCs w:val="20"/>
          <w:lang w:val="es-MX"/>
        </w:rPr>
      </w:pPr>
      <w:r w:rsidRPr="00214D5E">
        <w:rPr>
          <w:rFonts w:ascii="Tahoma" w:hAnsi="Tahoma" w:cs="Tahoma"/>
          <w:sz w:val="20"/>
          <w:szCs w:val="20"/>
          <w:lang w:val="es-MX"/>
        </w:rPr>
        <w:t xml:space="preserve">En el </w:t>
      </w:r>
      <w:r w:rsidRPr="00214D5E">
        <w:rPr>
          <w:rFonts w:ascii="Tahoma" w:hAnsi="Tahoma" w:cs="Tahoma"/>
          <w:sz w:val="20"/>
          <w:szCs w:val="20"/>
          <w:lang w:val="es-PE"/>
        </w:rPr>
        <w:t>Contrato № 922-2008/ORA</w:t>
      </w:r>
      <w:r w:rsidRPr="00214D5E">
        <w:rPr>
          <w:rFonts w:ascii="Tahoma" w:hAnsi="Tahoma" w:cs="Tahoma"/>
          <w:sz w:val="20"/>
          <w:szCs w:val="20"/>
          <w:lang w:val="es-MX"/>
        </w:rPr>
        <w:t xml:space="preserve">, </w:t>
      </w:r>
      <w:r w:rsidRPr="00214D5E">
        <w:rPr>
          <w:rFonts w:ascii="Tahoma" w:hAnsi="Tahoma" w:cs="Tahoma"/>
          <w:sz w:val="20"/>
          <w:szCs w:val="20"/>
        </w:rPr>
        <w:t>se estableció como fecha de inicio de ejecución contractual el 26 de noviembre de 2008 y de término el 01 de diciembre del mismo año</w:t>
      </w:r>
      <w:r w:rsidRPr="00214D5E">
        <w:rPr>
          <w:rFonts w:ascii="Tahoma" w:hAnsi="Tahoma" w:cs="Tahoma"/>
          <w:sz w:val="20"/>
          <w:szCs w:val="20"/>
          <w:lang w:val="es-MX"/>
        </w:rPr>
        <w:t>. Dicho lo cual, es relevante señalar que en esta última fecha el Contratista no había cumplido con ejecutar sus prestaciones a su cargo, situación fáctica que es posible inferir de las comunicaciones cursadas por la Entidad al Contratista, en las cuales ésta le requirió el cumplimiento de sus obligaciones.</w:t>
      </w:r>
    </w:p>
    <w:p w:rsidR="00214D5E" w:rsidRPr="00214D5E" w:rsidRDefault="00214D5E" w:rsidP="00214D5E">
      <w:pPr>
        <w:pStyle w:val="Sangradetextonormal"/>
        <w:tabs>
          <w:tab w:val="left" w:pos="540"/>
        </w:tabs>
        <w:spacing w:after="0"/>
        <w:ind w:left="540"/>
        <w:jc w:val="both"/>
        <w:rPr>
          <w:rFonts w:ascii="Tahoma" w:hAnsi="Tahoma" w:cs="Tahoma"/>
          <w:sz w:val="20"/>
          <w:szCs w:val="20"/>
          <w:lang w:val="es-MX"/>
        </w:rPr>
      </w:pPr>
    </w:p>
    <w:p w:rsidR="00214D5E" w:rsidRPr="00214D5E" w:rsidRDefault="00214D5E" w:rsidP="00214D5E">
      <w:pPr>
        <w:pStyle w:val="Sangradetextonormal"/>
        <w:tabs>
          <w:tab w:val="left" w:pos="540"/>
        </w:tabs>
        <w:spacing w:after="0"/>
        <w:ind w:left="540"/>
        <w:jc w:val="both"/>
        <w:rPr>
          <w:rFonts w:ascii="Tahoma" w:hAnsi="Tahoma" w:cs="Tahoma"/>
          <w:sz w:val="20"/>
          <w:szCs w:val="20"/>
          <w:lang w:val="es-MX"/>
        </w:rPr>
      </w:pPr>
      <w:r w:rsidRPr="00214D5E">
        <w:rPr>
          <w:rFonts w:ascii="Tahoma" w:hAnsi="Tahoma" w:cs="Tahoma"/>
          <w:sz w:val="20"/>
          <w:szCs w:val="20"/>
        </w:rPr>
        <w:t>De lo antes expuesto, resulta lógico que sean los postores los únicos responsables de los términos consignados en su oferta presentado en el proceso de selección, por lo que su sola presentación los vincula jurídicamente, de modo que el eventual otorgamiento de la Buena Pro a favor del ganador y la consecuente suscripción contractual, obliga a esta último a cumplir con lo ofertado dentro del plazo señalado, para lo cual aquélla de manera diligente debe prever que dicha prestación se realice en las condiciones pactadas.</w:t>
      </w:r>
    </w:p>
    <w:p w:rsidR="00214D5E" w:rsidRPr="00214D5E" w:rsidRDefault="00214D5E" w:rsidP="00214D5E">
      <w:pPr>
        <w:pStyle w:val="Sangradetextonormal"/>
        <w:tabs>
          <w:tab w:val="num" w:pos="540"/>
          <w:tab w:val="left" w:pos="900"/>
        </w:tabs>
        <w:spacing w:after="0"/>
        <w:ind w:left="540"/>
        <w:jc w:val="both"/>
        <w:rPr>
          <w:rFonts w:ascii="Tahoma" w:hAnsi="Tahoma" w:cs="Tahoma"/>
          <w:sz w:val="20"/>
          <w:szCs w:val="20"/>
        </w:rPr>
      </w:pPr>
    </w:p>
    <w:p w:rsidR="00214D5E" w:rsidRPr="00214D5E" w:rsidRDefault="00214D5E" w:rsidP="00214D5E">
      <w:pPr>
        <w:pStyle w:val="Textoindependiente"/>
        <w:widowControl w:val="0"/>
        <w:numPr>
          <w:ilvl w:val="0"/>
          <w:numId w:val="4"/>
        </w:numPr>
        <w:suppressAutoHyphens/>
        <w:spacing w:after="0"/>
        <w:ind w:left="567" w:hanging="567"/>
        <w:jc w:val="both"/>
        <w:rPr>
          <w:rFonts w:ascii="Tahoma" w:hAnsi="Tahoma" w:cs="Tahoma"/>
          <w:sz w:val="20"/>
          <w:szCs w:val="20"/>
        </w:rPr>
      </w:pPr>
      <w:r w:rsidRPr="00214D5E">
        <w:rPr>
          <w:rFonts w:ascii="Tahoma" w:hAnsi="Tahoma" w:cs="Tahoma"/>
          <w:sz w:val="20"/>
          <w:szCs w:val="20"/>
          <w:lang w:val="es-MX"/>
        </w:rPr>
        <w:t>Según se observa, queda claro que la obligación del Contratista debería ser en óptimas condiciones y conforme al plazo estipulado, según se  desprende de los actuados en el expediente administrativo. Pese a ello, ha quedado acreditado en el presente caso que, a pesar de que la Entidad le brindo un plazo adicional al Contratista para el cumplimiento de sus obligaciones contractuales, éste no había cumplido con hacer efectiva la entrega de los bienes ofertados.</w:t>
      </w:r>
    </w:p>
    <w:p w:rsidR="00214D5E" w:rsidRPr="00214D5E" w:rsidRDefault="00214D5E" w:rsidP="00214D5E">
      <w:pPr>
        <w:pStyle w:val="Textoindependiente"/>
        <w:ind w:left="567"/>
        <w:rPr>
          <w:rFonts w:ascii="Tahoma" w:hAnsi="Tahoma" w:cs="Tahoma"/>
          <w:sz w:val="20"/>
          <w:szCs w:val="20"/>
        </w:rPr>
      </w:pPr>
    </w:p>
    <w:p w:rsidR="00214D5E" w:rsidRPr="00214D5E" w:rsidRDefault="00214D5E" w:rsidP="00214D5E">
      <w:pPr>
        <w:pStyle w:val="Textoindependiente"/>
        <w:widowControl w:val="0"/>
        <w:numPr>
          <w:ilvl w:val="0"/>
          <w:numId w:val="4"/>
        </w:numPr>
        <w:suppressAutoHyphens/>
        <w:spacing w:after="0"/>
        <w:ind w:left="567" w:hanging="567"/>
        <w:jc w:val="both"/>
        <w:rPr>
          <w:rFonts w:ascii="Tahoma" w:hAnsi="Tahoma" w:cs="Tahoma"/>
          <w:sz w:val="20"/>
          <w:szCs w:val="20"/>
        </w:rPr>
      </w:pPr>
      <w:r w:rsidRPr="00214D5E">
        <w:rPr>
          <w:rFonts w:ascii="Tahoma" w:hAnsi="Tahoma" w:cs="Tahoma"/>
          <w:sz w:val="20"/>
          <w:szCs w:val="20"/>
        </w:rPr>
        <w:t>Sobre la base de lo expuesto, en virtud al derecho de defensa que ampara al administrado, el Contratista no ha negado que su conducta esté inmersa en infracción, toda vez que no ha presentado sus descargos a pesar de haber sido debidamente notificado mediante Cedula de Notificación № 1828/2011.TC., conforme obra en autos.</w:t>
      </w:r>
    </w:p>
    <w:p w:rsidR="00214D5E" w:rsidRPr="00214D5E" w:rsidRDefault="00214D5E" w:rsidP="00214D5E">
      <w:pPr>
        <w:pStyle w:val="Textoindependiente"/>
        <w:ind w:left="567"/>
        <w:rPr>
          <w:rFonts w:ascii="Tahoma" w:hAnsi="Tahoma" w:cs="Tahoma"/>
          <w:sz w:val="20"/>
          <w:szCs w:val="20"/>
        </w:rPr>
      </w:pPr>
    </w:p>
    <w:p w:rsidR="00214D5E" w:rsidRPr="00214D5E" w:rsidRDefault="00214D5E" w:rsidP="00214D5E">
      <w:pPr>
        <w:pStyle w:val="Textoindependiente"/>
        <w:widowControl w:val="0"/>
        <w:numPr>
          <w:ilvl w:val="0"/>
          <w:numId w:val="4"/>
        </w:numPr>
        <w:tabs>
          <w:tab w:val="num" w:pos="567"/>
        </w:tabs>
        <w:suppressAutoHyphens/>
        <w:spacing w:after="0"/>
        <w:ind w:left="567" w:hanging="567"/>
        <w:jc w:val="both"/>
        <w:rPr>
          <w:rFonts w:ascii="Tahoma" w:hAnsi="Tahoma" w:cs="Tahoma"/>
          <w:sz w:val="20"/>
          <w:szCs w:val="20"/>
        </w:rPr>
      </w:pPr>
      <w:r w:rsidRPr="00214D5E">
        <w:rPr>
          <w:rFonts w:ascii="Tahoma" w:hAnsi="Tahoma" w:cs="Tahoma"/>
          <w:sz w:val="20"/>
          <w:szCs w:val="20"/>
        </w:rPr>
        <w:t xml:space="preserve">En esa medida, toda vez que el Contratista no ha presentado argumentos y/o documentación adicional que permitan justificar su incumplimiento y que adicionalmente no ha cuestionado la resolución del contrato en la vía correspondiente, se colige entonces </w:t>
      </w:r>
      <w:r w:rsidRPr="00214D5E">
        <w:rPr>
          <w:rFonts w:ascii="Tahoma" w:hAnsi="Tahoma" w:cs="Tahoma"/>
          <w:sz w:val="20"/>
          <w:szCs w:val="20"/>
        </w:rPr>
        <w:lastRenderedPageBreak/>
        <w:t xml:space="preserve">que el Contratista ha incurrido en la causal de aplicación de sanción consistente en haber dado lugar a la resolución del </w:t>
      </w:r>
      <w:r w:rsidRPr="00214D5E">
        <w:rPr>
          <w:rFonts w:ascii="Tahoma" w:hAnsi="Tahoma" w:cs="Tahoma"/>
          <w:sz w:val="20"/>
          <w:szCs w:val="20"/>
          <w:lang w:val="es-PE"/>
        </w:rPr>
        <w:t>Contrato № 922-2008/ORA</w:t>
      </w:r>
      <w:r w:rsidRPr="00214D5E">
        <w:rPr>
          <w:rFonts w:ascii="Tahoma" w:hAnsi="Tahoma" w:cs="Tahoma"/>
          <w:sz w:val="20"/>
          <w:szCs w:val="20"/>
        </w:rPr>
        <w:t xml:space="preserve"> de 25 de noviembre de 2008, por causal atribuible a su parte.</w:t>
      </w:r>
    </w:p>
    <w:p w:rsidR="00214D5E" w:rsidRPr="00214D5E" w:rsidRDefault="00214D5E" w:rsidP="00214D5E">
      <w:pPr>
        <w:pStyle w:val="Textoindependiente"/>
        <w:ind w:left="567"/>
        <w:rPr>
          <w:rFonts w:ascii="Tahoma" w:hAnsi="Tahoma" w:cs="Tahoma"/>
          <w:sz w:val="20"/>
          <w:szCs w:val="20"/>
        </w:rPr>
      </w:pPr>
    </w:p>
    <w:p w:rsidR="00214D5E" w:rsidRPr="00214D5E" w:rsidRDefault="00214D5E" w:rsidP="00214D5E">
      <w:pPr>
        <w:pStyle w:val="Textoindependiente"/>
        <w:widowControl w:val="0"/>
        <w:numPr>
          <w:ilvl w:val="0"/>
          <w:numId w:val="4"/>
        </w:numPr>
        <w:tabs>
          <w:tab w:val="num" w:pos="567"/>
        </w:tabs>
        <w:suppressAutoHyphens/>
        <w:spacing w:after="0"/>
        <w:ind w:left="567" w:hanging="567"/>
        <w:jc w:val="both"/>
        <w:rPr>
          <w:rFonts w:ascii="Tahoma" w:hAnsi="Tahoma" w:cs="Tahoma"/>
          <w:sz w:val="20"/>
          <w:szCs w:val="20"/>
        </w:rPr>
      </w:pPr>
      <w:r w:rsidRPr="00214D5E">
        <w:rPr>
          <w:rFonts w:ascii="Tahoma" w:hAnsi="Tahoma" w:cs="Tahoma"/>
          <w:sz w:val="20"/>
          <w:szCs w:val="20"/>
        </w:rPr>
        <w:t xml:space="preserve">Por lo tanto, en virtud a que el Contratista no ha acreditado que el incumplimiento de sus obligaciones contractuales, haya sido producto de caso fortuito o fuerza mayor, ni existen indicios que dicho incumplimiento se haya producido por causas imprevisibles ajenas a su voluntad o por causa atribuible a la Entidad, este Colegiado concluye que la resolución del </w:t>
      </w:r>
      <w:r w:rsidRPr="00214D5E">
        <w:rPr>
          <w:rFonts w:ascii="Tahoma" w:hAnsi="Tahoma" w:cs="Tahoma"/>
          <w:sz w:val="20"/>
          <w:szCs w:val="20"/>
          <w:lang w:val="es-PE"/>
        </w:rPr>
        <w:t>Contrato № 922-2008/ORA</w:t>
      </w:r>
      <w:r w:rsidRPr="00214D5E">
        <w:rPr>
          <w:rFonts w:ascii="Tahoma" w:hAnsi="Tahoma" w:cs="Tahoma"/>
          <w:sz w:val="20"/>
          <w:szCs w:val="20"/>
        </w:rPr>
        <w:t xml:space="preserve"> de 25 de noviembre de 2008 resulta atribuible al Contratista.</w:t>
      </w:r>
    </w:p>
    <w:p w:rsidR="00214D5E" w:rsidRPr="00214D5E" w:rsidRDefault="00214D5E" w:rsidP="00214D5E">
      <w:pPr>
        <w:pStyle w:val="Prrafodelista"/>
        <w:rPr>
          <w:rFonts w:ascii="Tahoma" w:hAnsi="Tahoma" w:cs="Tahoma"/>
          <w:lang w:val="es-PE"/>
        </w:rPr>
      </w:pPr>
    </w:p>
    <w:p w:rsidR="00214D5E" w:rsidRPr="00214D5E" w:rsidRDefault="00214D5E" w:rsidP="00214D5E">
      <w:pPr>
        <w:pStyle w:val="Textoindependiente"/>
        <w:ind w:left="567"/>
        <w:rPr>
          <w:rFonts w:ascii="Tahoma" w:hAnsi="Tahoma" w:cs="Tahoma"/>
          <w:sz w:val="20"/>
          <w:szCs w:val="20"/>
        </w:rPr>
      </w:pPr>
      <w:r w:rsidRPr="00214D5E">
        <w:rPr>
          <w:rFonts w:ascii="Tahoma" w:hAnsi="Tahoma" w:cs="Tahoma"/>
          <w:sz w:val="20"/>
          <w:szCs w:val="20"/>
        </w:rPr>
        <w:t xml:space="preserve">Precisamente, en relación al caso fortuito o fuerza mayor, debe  señalarse que el Código Civil en su artículo 1315 establece que </w:t>
      </w:r>
      <w:r w:rsidRPr="00214D5E">
        <w:rPr>
          <w:rFonts w:ascii="Tahoma" w:hAnsi="Tahoma" w:cs="Tahoma"/>
          <w:i/>
          <w:sz w:val="20"/>
          <w:szCs w:val="20"/>
        </w:rPr>
        <w:t xml:space="preserve">"(...) es la causa no imputable, consistente en un evento extraordinario, imprevisible e irresistible, que impide la ejecución de la obligación o determina su cumplimiento parcial, tardío o defectuoso". </w:t>
      </w:r>
      <w:r w:rsidRPr="00214D5E">
        <w:rPr>
          <w:rFonts w:ascii="Tahoma" w:hAnsi="Tahoma" w:cs="Tahoma"/>
          <w:sz w:val="20"/>
          <w:szCs w:val="20"/>
        </w:rPr>
        <w:t>Es decir, que la norma contempla con tres características esenciales para la configuración del caso fortuito o fuerza mayor: la extraordinariedad, imprevisibilidad e irresistibilidad de un evento no imputable al deudor. Sobre dichos elementos, la doctrina efectuado las siguientes precisiones:</w:t>
      </w:r>
    </w:p>
    <w:p w:rsidR="00214D5E" w:rsidRPr="00214D5E" w:rsidRDefault="00214D5E" w:rsidP="00D069FF">
      <w:pPr>
        <w:pStyle w:val="Sinespaciado"/>
        <w:ind w:left="567"/>
        <w:jc w:val="both"/>
        <w:rPr>
          <w:rFonts w:ascii="Tahoma" w:hAnsi="Tahoma" w:cs="Tahoma"/>
          <w:sz w:val="20"/>
          <w:szCs w:val="20"/>
          <w:lang w:val="es-PE"/>
        </w:rPr>
      </w:pPr>
    </w:p>
    <w:p w:rsidR="00214D5E" w:rsidRPr="00214D5E" w:rsidRDefault="00214D5E" w:rsidP="00D069FF">
      <w:pPr>
        <w:pStyle w:val="Sinespaciado"/>
        <w:ind w:left="567"/>
        <w:jc w:val="both"/>
        <w:rPr>
          <w:rFonts w:ascii="Tahoma" w:hAnsi="Tahoma" w:cs="Tahoma"/>
          <w:i/>
          <w:sz w:val="20"/>
          <w:szCs w:val="20"/>
          <w:lang w:val="es-PE"/>
        </w:rPr>
      </w:pPr>
      <w:r w:rsidRPr="00214D5E">
        <w:rPr>
          <w:rFonts w:ascii="Tahoma" w:hAnsi="Tahoma" w:cs="Tahoma"/>
          <w:sz w:val="20"/>
          <w:szCs w:val="20"/>
          <w:lang w:val="es-PE"/>
        </w:rPr>
        <w:t>"</w:t>
      </w:r>
      <w:r w:rsidRPr="00214D5E">
        <w:rPr>
          <w:rFonts w:ascii="Tahoma" w:hAnsi="Tahoma" w:cs="Tahoma"/>
          <w:i/>
          <w:sz w:val="20"/>
          <w:szCs w:val="20"/>
          <w:lang w:val="es-PE"/>
        </w:rPr>
        <w:t>Acontecimiento extraordinario es todo aquél que sale de lo común, que no es usual.</w:t>
      </w:r>
    </w:p>
    <w:p w:rsidR="00214D5E" w:rsidRPr="00214D5E" w:rsidRDefault="00214D5E" w:rsidP="00D069FF">
      <w:pPr>
        <w:pStyle w:val="Sinespaciado"/>
        <w:ind w:left="567"/>
        <w:jc w:val="both"/>
        <w:rPr>
          <w:rFonts w:ascii="Tahoma" w:hAnsi="Tahoma" w:cs="Tahoma"/>
          <w:i/>
          <w:sz w:val="20"/>
          <w:szCs w:val="20"/>
          <w:lang w:val="es-PE"/>
        </w:rPr>
      </w:pPr>
      <w:r w:rsidRPr="00214D5E">
        <w:rPr>
          <w:rFonts w:ascii="Tahoma" w:hAnsi="Tahoma" w:cs="Tahoma"/>
          <w:i/>
          <w:sz w:val="20"/>
          <w:szCs w:val="20"/>
          <w:lang w:val="es-PE"/>
        </w:rPr>
        <w:t>(...)</w:t>
      </w:r>
    </w:p>
    <w:p w:rsidR="00214D5E" w:rsidRPr="00214D5E" w:rsidRDefault="00214D5E" w:rsidP="00D069FF">
      <w:pPr>
        <w:pStyle w:val="Sinespaciado"/>
        <w:ind w:left="567"/>
        <w:jc w:val="both"/>
        <w:rPr>
          <w:rFonts w:ascii="Tahoma" w:hAnsi="Tahoma" w:cs="Tahoma"/>
          <w:i/>
          <w:sz w:val="20"/>
          <w:szCs w:val="20"/>
          <w:lang w:val="es-PE"/>
        </w:rPr>
      </w:pPr>
    </w:p>
    <w:p w:rsidR="00214D5E" w:rsidRPr="00214D5E" w:rsidRDefault="00214D5E" w:rsidP="00D069FF">
      <w:pPr>
        <w:pStyle w:val="Sinespaciado"/>
        <w:ind w:left="567"/>
        <w:jc w:val="both"/>
        <w:rPr>
          <w:rFonts w:ascii="Tahoma" w:hAnsi="Tahoma" w:cs="Tahoma"/>
          <w:i/>
          <w:sz w:val="20"/>
          <w:szCs w:val="20"/>
          <w:lang w:val="es-PE"/>
        </w:rPr>
      </w:pPr>
      <w:r w:rsidRPr="00214D5E">
        <w:rPr>
          <w:rFonts w:ascii="Tahoma" w:hAnsi="Tahoma" w:cs="Tahoma"/>
          <w:i/>
          <w:sz w:val="20"/>
          <w:szCs w:val="20"/>
          <w:lang w:val="es-PE"/>
        </w:rPr>
        <w:t>El requisito de la previsión se exige cuando el deudor no previó lo que debía, o cuando habiendo previsto el acontecimiento, se obliga a algo que presumiblemente iba a ser imposible. En ambos casos el acontecimiento es imputable al deudor, pues equivale a un hecho suyo.</w:t>
      </w:r>
    </w:p>
    <w:p w:rsidR="00214D5E" w:rsidRPr="00214D5E" w:rsidRDefault="00214D5E" w:rsidP="00D069FF">
      <w:pPr>
        <w:pStyle w:val="Sinespaciado"/>
        <w:ind w:left="567"/>
        <w:jc w:val="both"/>
        <w:rPr>
          <w:rFonts w:ascii="Tahoma" w:hAnsi="Tahoma" w:cs="Tahoma"/>
          <w:i/>
          <w:sz w:val="20"/>
          <w:szCs w:val="20"/>
          <w:lang w:val="es-PE"/>
        </w:rPr>
      </w:pPr>
    </w:p>
    <w:p w:rsidR="00214D5E" w:rsidRPr="00214D5E" w:rsidRDefault="00214D5E" w:rsidP="00D069FF">
      <w:pPr>
        <w:pStyle w:val="Sinespaciado"/>
        <w:ind w:left="567"/>
        <w:jc w:val="both"/>
        <w:rPr>
          <w:rFonts w:ascii="Tahoma" w:hAnsi="Tahoma" w:cs="Tahoma"/>
          <w:i/>
          <w:sz w:val="20"/>
          <w:szCs w:val="20"/>
          <w:lang w:val="es-PE"/>
        </w:rPr>
      </w:pPr>
      <w:r w:rsidRPr="00214D5E">
        <w:rPr>
          <w:rFonts w:ascii="Tahoma" w:hAnsi="Tahoma" w:cs="Tahoma"/>
          <w:i/>
          <w:sz w:val="20"/>
          <w:szCs w:val="20"/>
          <w:lang w:val="es-PE"/>
        </w:rPr>
        <w:t>(...) La noción de imprevisibilidad se aprecia, pues, tomando en consideración todas las circunstancias de la obligación. La rareza, el carácter normal del evento, las remotas posibilidades de realización, configuran el caso fortuito o de fuerza mayor.</w:t>
      </w:r>
    </w:p>
    <w:p w:rsidR="00214D5E" w:rsidRPr="00214D5E" w:rsidRDefault="00214D5E" w:rsidP="00D069FF">
      <w:pPr>
        <w:pStyle w:val="Sinespaciado"/>
        <w:ind w:left="567"/>
        <w:jc w:val="both"/>
        <w:rPr>
          <w:rFonts w:ascii="Tahoma" w:hAnsi="Tahoma" w:cs="Tahoma"/>
          <w:i/>
          <w:sz w:val="20"/>
          <w:szCs w:val="20"/>
          <w:lang w:val="es-PE"/>
        </w:rPr>
      </w:pPr>
    </w:p>
    <w:p w:rsidR="00214D5E" w:rsidRPr="00214D5E" w:rsidRDefault="00214D5E" w:rsidP="00D069FF">
      <w:pPr>
        <w:pStyle w:val="Sinespaciado"/>
        <w:ind w:left="567"/>
        <w:jc w:val="both"/>
        <w:rPr>
          <w:rFonts w:ascii="Tahoma" w:hAnsi="Tahoma" w:cs="Tahoma"/>
          <w:sz w:val="20"/>
          <w:szCs w:val="20"/>
          <w:lang w:val="es-PE"/>
        </w:rPr>
      </w:pPr>
      <w:r w:rsidRPr="00214D5E">
        <w:rPr>
          <w:rFonts w:ascii="Tahoma" w:hAnsi="Tahoma" w:cs="Tahoma"/>
          <w:i/>
          <w:sz w:val="20"/>
          <w:szCs w:val="20"/>
          <w:lang w:val="es-PE"/>
        </w:rPr>
        <w:t>El requisito de la irresistibilidad, por último, supone la imposibilidad de cumplimiento. La dificultad de cumplimiento no exonera al deudor, aun cuando la prestación se haya convertido en más onerosa de lo previsto. Tampoco interesa la situación personal del deudor; la ausencia de medios económicos para cumplir la obligación no tiene fuerza liberatoria</w:t>
      </w:r>
      <w:r w:rsidRPr="00214D5E">
        <w:rPr>
          <w:rFonts w:ascii="Tahoma" w:hAnsi="Tahoma" w:cs="Tahoma"/>
          <w:sz w:val="20"/>
          <w:szCs w:val="20"/>
          <w:lang w:val="es-PE"/>
        </w:rPr>
        <w:t>" (Osterling Parodi, Felipe. Las Obligaciones. Lima: Fondo Editorial PUCP, 1988, pp. 199-200).</w:t>
      </w:r>
    </w:p>
    <w:p w:rsidR="00214D5E" w:rsidRPr="00214D5E" w:rsidRDefault="00214D5E" w:rsidP="00214D5E">
      <w:pPr>
        <w:pStyle w:val="Prrafodelista"/>
        <w:rPr>
          <w:rFonts w:ascii="Tahoma" w:hAnsi="Tahoma" w:cs="Tahoma"/>
        </w:rPr>
      </w:pPr>
    </w:p>
    <w:p w:rsidR="00214D5E" w:rsidRPr="00214D5E" w:rsidRDefault="00214D5E" w:rsidP="00214D5E">
      <w:pPr>
        <w:pStyle w:val="Prrafodelista"/>
        <w:widowControl w:val="0"/>
        <w:numPr>
          <w:ilvl w:val="0"/>
          <w:numId w:val="4"/>
        </w:numPr>
        <w:tabs>
          <w:tab w:val="num" w:pos="567"/>
        </w:tabs>
        <w:suppressAutoHyphens/>
        <w:ind w:left="567" w:hanging="567"/>
        <w:jc w:val="both"/>
        <w:rPr>
          <w:rFonts w:ascii="Tahoma" w:hAnsi="Tahoma" w:cs="Tahoma"/>
        </w:rPr>
      </w:pPr>
      <w:r w:rsidRPr="00214D5E">
        <w:rPr>
          <w:rFonts w:ascii="Tahoma" w:hAnsi="Tahoma" w:cs="Tahoma"/>
        </w:rPr>
        <w:t>A ello debemos agregar que, en los casos de incumplimiento de obligaciones, existe la presunción legal establecida en el artículo 1329 del mismo Código Civil, según el cual aquél es producto de la falta de diligencia del deudor</w:t>
      </w:r>
      <w:r w:rsidRPr="00214D5E">
        <w:rPr>
          <w:rStyle w:val="Refdenotaalpie"/>
          <w:rFonts w:ascii="Tahoma" w:hAnsi="Tahoma" w:cs="Tahoma"/>
        </w:rPr>
        <w:footnoteReference w:id="5"/>
      </w:r>
      <w:r w:rsidRPr="00214D5E">
        <w:rPr>
          <w:rFonts w:ascii="Tahoma" w:hAnsi="Tahoma" w:cs="Tahoma"/>
        </w:rPr>
        <w:t xml:space="preserve">, lo que implica que es su deber demostrar lo contrario y acreditar que, pese a haber actuado con la diligencia ordinaria exigida por la naturaleza de la prestación, le fue imposible cumplirla. </w:t>
      </w:r>
    </w:p>
    <w:p w:rsidR="00214D5E" w:rsidRPr="00214D5E" w:rsidRDefault="00214D5E" w:rsidP="00214D5E">
      <w:pPr>
        <w:pStyle w:val="Prrafodelista"/>
        <w:rPr>
          <w:rFonts w:ascii="Tahoma" w:hAnsi="Tahoma" w:cs="Tahoma"/>
        </w:rPr>
      </w:pPr>
    </w:p>
    <w:p w:rsidR="00214D5E" w:rsidRPr="00214D5E" w:rsidRDefault="00214D5E" w:rsidP="00214D5E">
      <w:pPr>
        <w:pStyle w:val="Prrafodelista"/>
        <w:widowControl w:val="0"/>
        <w:numPr>
          <w:ilvl w:val="0"/>
          <w:numId w:val="4"/>
        </w:numPr>
        <w:tabs>
          <w:tab w:val="num" w:pos="567"/>
        </w:tabs>
        <w:suppressAutoHyphens/>
        <w:ind w:left="567" w:hanging="567"/>
        <w:jc w:val="both"/>
        <w:rPr>
          <w:rFonts w:ascii="Tahoma" w:hAnsi="Tahoma" w:cs="Tahoma"/>
        </w:rPr>
      </w:pPr>
      <w:r w:rsidRPr="00214D5E">
        <w:rPr>
          <w:rFonts w:ascii="Tahoma" w:hAnsi="Tahoma" w:cs="Tahoma"/>
        </w:rPr>
        <w:t>Por las consideraciones expuestas, se desprende que el Contrato № 922-2008/ORA de 25 de noviembre de 2008 estuvo motivada por causal atribuible al Contratista, al no haber cumplido con la instalación de jaulas flotantes para la producción intensiva de truchas en las Lagunas de Minacocha y Tanseroccocha Huando Tansiri, por lo que el hecho imputado califica como infracción administrativa según la causal de imposición de sanción tipificada en el literal b) del numeral 51.1 del artículo 51 de la Ley en concordancia con el literal b) del numeral 1) del artículo 237 del Reglamento, la cual se encuentra sancionada con inhabilitación temporal para ser postor y contratar con el Estado por un período no menor de uno (1) ni mayor de tres (3) años.</w:t>
      </w:r>
    </w:p>
    <w:p w:rsidR="00214D5E" w:rsidRPr="00214D5E" w:rsidRDefault="00214D5E" w:rsidP="00214D5E">
      <w:pPr>
        <w:pStyle w:val="Prrafodelista"/>
        <w:rPr>
          <w:rFonts w:ascii="Tahoma" w:hAnsi="Tahoma" w:cs="Tahoma"/>
        </w:rPr>
      </w:pPr>
    </w:p>
    <w:p w:rsidR="00214D5E" w:rsidRPr="00214D5E" w:rsidRDefault="00214D5E" w:rsidP="00214D5E">
      <w:pPr>
        <w:pStyle w:val="Prrafodelista"/>
        <w:numPr>
          <w:ilvl w:val="0"/>
          <w:numId w:val="4"/>
        </w:numPr>
        <w:ind w:left="567" w:hanging="567"/>
        <w:jc w:val="both"/>
        <w:rPr>
          <w:rFonts w:ascii="Tahoma" w:hAnsi="Tahoma" w:cs="Tahoma"/>
        </w:rPr>
      </w:pPr>
      <w:r w:rsidRPr="00214D5E">
        <w:rPr>
          <w:rFonts w:ascii="Tahoma" w:hAnsi="Tahoma" w:cs="Tahoma"/>
        </w:rPr>
        <w:t>A efectos de graduar la sanción administrativa a imponerse, debe considerarse los criterios establecidos en el artículo 245 del Reglamento</w:t>
      </w:r>
      <w:r w:rsidRPr="00214D5E">
        <w:rPr>
          <w:rStyle w:val="Refdenotaalpie"/>
          <w:rFonts w:ascii="Tahoma" w:hAnsi="Tahoma" w:cs="Tahoma"/>
        </w:rPr>
        <w:footnoteReference w:id="6"/>
      </w:r>
      <w:r w:rsidRPr="00214D5E">
        <w:rPr>
          <w:rFonts w:ascii="Tahoma" w:hAnsi="Tahoma" w:cs="Tahoma"/>
        </w:rPr>
        <w:t>.</w:t>
      </w:r>
    </w:p>
    <w:p w:rsidR="00214D5E" w:rsidRPr="00214D5E" w:rsidRDefault="00214D5E" w:rsidP="00214D5E">
      <w:pPr>
        <w:pStyle w:val="Prrafodelista"/>
        <w:ind w:left="567"/>
        <w:rPr>
          <w:rFonts w:ascii="Tahoma" w:hAnsi="Tahoma" w:cs="Tahoma"/>
        </w:rPr>
      </w:pPr>
    </w:p>
    <w:p w:rsidR="00214D5E" w:rsidRPr="00214D5E" w:rsidRDefault="00214D5E" w:rsidP="00214D5E">
      <w:pPr>
        <w:pStyle w:val="Prrafodelista"/>
        <w:numPr>
          <w:ilvl w:val="0"/>
          <w:numId w:val="4"/>
        </w:numPr>
        <w:ind w:left="567" w:hanging="567"/>
        <w:jc w:val="both"/>
        <w:rPr>
          <w:rFonts w:ascii="Tahoma" w:hAnsi="Tahoma" w:cs="Tahoma"/>
        </w:rPr>
      </w:pPr>
      <w:r w:rsidRPr="00214D5E">
        <w:rPr>
          <w:rFonts w:ascii="Tahoma" w:hAnsi="Tahoma" w:cs="Tahoma"/>
        </w:rPr>
        <w:t>En ese sentido, en relación con la naturaleza de la infracción cometida, es importante señalar que la conducta efectuada por el Contratista reviste de una considerable gravedad en la medida que desde el momento en que se asumió un compromiso contractual frente a la Entidad, aquélla se encontraba llamada a cumplir cabalmente con lo ofrecido, máxime si es conocido que ante un eventual incumplimiento se verían seriamente afectados intereses de carácter público así como retrasado el cumplimiento de las metas institucionales de la Entidad.</w:t>
      </w:r>
    </w:p>
    <w:p w:rsidR="00214D5E" w:rsidRPr="00214D5E" w:rsidRDefault="00214D5E" w:rsidP="00214D5E">
      <w:pPr>
        <w:pStyle w:val="Prrafodelista"/>
        <w:rPr>
          <w:rFonts w:ascii="Tahoma" w:hAnsi="Tahoma" w:cs="Tahoma"/>
        </w:rPr>
      </w:pPr>
    </w:p>
    <w:p w:rsidR="00214D5E" w:rsidRPr="00214D5E" w:rsidRDefault="00214D5E" w:rsidP="00214D5E">
      <w:pPr>
        <w:pStyle w:val="Prrafodelista"/>
        <w:numPr>
          <w:ilvl w:val="0"/>
          <w:numId w:val="4"/>
        </w:numPr>
        <w:ind w:left="567" w:hanging="567"/>
        <w:jc w:val="both"/>
        <w:rPr>
          <w:rFonts w:ascii="Tahoma" w:hAnsi="Tahoma" w:cs="Tahoma"/>
        </w:rPr>
      </w:pPr>
      <w:r w:rsidRPr="00214D5E">
        <w:rPr>
          <w:rFonts w:ascii="Tahoma" w:hAnsi="Tahoma" w:cs="Tahoma"/>
        </w:rPr>
        <w:t>En igual sentido, en cuanto al criterio de intencionalidad del infractor, este Colegiado considera que en tanto, la conducta llevada a cabo por parte del Contratista consistente en la resolución del contrato, no permite a este Colegiado determinar la existencia de intencionalidad de su parte en la medida que no se ha evidenciado la consecución de un fin ulterior; no obstante lo cual, si resulta clara una falta de diligencia por parte de dicho Contratista, en el cumplimiento de sus obligaciones contractuales.</w:t>
      </w:r>
    </w:p>
    <w:p w:rsidR="00214D5E" w:rsidRPr="00214D5E" w:rsidRDefault="00214D5E" w:rsidP="00214D5E">
      <w:pPr>
        <w:pStyle w:val="Prrafodelista"/>
        <w:rPr>
          <w:rFonts w:ascii="Tahoma" w:hAnsi="Tahoma" w:cs="Tahoma"/>
        </w:rPr>
      </w:pPr>
    </w:p>
    <w:p w:rsidR="00214D5E" w:rsidRPr="00214D5E" w:rsidRDefault="00214D5E" w:rsidP="00214D5E">
      <w:pPr>
        <w:pStyle w:val="Prrafodelista"/>
        <w:numPr>
          <w:ilvl w:val="0"/>
          <w:numId w:val="4"/>
        </w:numPr>
        <w:ind w:left="567" w:hanging="567"/>
        <w:jc w:val="both"/>
        <w:rPr>
          <w:rFonts w:ascii="Tahoma" w:hAnsi="Tahoma" w:cs="Tahoma"/>
        </w:rPr>
      </w:pPr>
      <w:r w:rsidRPr="00214D5E">
        <w:rPr>
          <w:rFonts w:ascii="Tahoma" w:hAnsi="Tahoma" w:cs="Tahoma"/>
        </w:rPr>
        <w:t>De esta manera, en lo que atañe al daño causado, es relevante tomar en cuenta, por un lado, la cuantía que subyace la Contrato № 922-2008/ORA, por el monto de S/. 11 972,30, y, por el otro, que su incumplimiento por parte del Contratista generó un daño a la Entidad, causando el retraso en el cumplimiento de sus objetivos, el cual había sido programado y presupuestado con anticipación.</w:t>
      </w:r>
    </w:p>
    <w:p w:rsidR="00214D5E" w:rsidRPr="00214D5E" w:rsidRDefault="00214D5E" w:rsidP="00214D5E">
      <w:pPr>
        <w:pStyle w:val="Prrafodelista"/>
        <w:rPr>
          <w:rFonts w:ascii="Tahoma" w:hAnsi="Tahoma" w:cs="Tahoma"/>
        </w:rPr>
      </w:pPr>
    </w:p>
    <w:p w:rsidR="00214D5E" w:rsidRPr="00214D5E" w:rsidRDefault="00214D5E" w:rsidP="00214D5E">
      <w:pPr>
        <w:pStyle w:val="Prrafodelista"/>
        <w:numPr>
          <w:ilvl w:val="0"/>
          <w:numId w:val="4"/>
        </w:numPr>
        <w:ind w:left="567" w:hanging="567"/>
        <w:jc w:val="both"/>
        <w:rPr>
          <w:rFonts w:ascii="Tahoma" w:hAnsi="Tahoma" w:cs="Tahoma"/>
        </w:rPr>
      </w:pPr>
      <w:r w:rsidRPr="00214D5E">
        <w:rPr>
          <w:rFonts w:ascii="Tahoma" w:hAnsi="Tahoma" w:cs="Tahoma"/>
        </w:rPr>
        <w:lastRenderedPageBreak/>
        <w:t>Sin perjuicio de lo anterior, respecto de las condiciones de la infractora y de su conducta procesal durante la sustanciación del presente procedimiento administrativo sancionador, abona a favor del infractor la ausencia de antecedentes en la comisión de infracciones, así como que durante la sustanciación del presente procedimiento administrativo sancionador el Contratista no ha efectuado la presentación de sus descargos.</w:t>
      </w:r>
    </w:p>
    <w:p w:rsidR="00214D5E" w:rsidRPr="00214D5E" w:rsidRDefault="00214D5E" w:rsidP="00214D5E">
      <w:pPr>
        <w:pStyle w:val="Prrafodelista"/>
        <w:rPr>
          <w:rFonts w:ascii="Tahoma" w:hAnsi="Tahoma" w:cs="Tahoma"/>
        </w:rPr>
      </w:pPr>
    </w:p>
    <w:p w:rsidR="00214D5E" w:rsidRPr="00214D5E" w:rsidRDefault="00214D5E" w:rsidP="00214D5E">
      <w:pPr>
        <w:pStyle w:val="Prrafodelista"/>
        <w:numPr>
          <w:ilvl w:val="0"/>
          <w:numId w:val="4"/>
        </w:numPr>
        <w:ind w:left="567" w:hanging="567"/>
        <w:jc w:val="both"/>
        <w:rPr>
          <w:rFonts w:ascii="Tahoma" w:hAnsi="Tahoma" w:cs="Tahoma"/>
        </w:rPr>
      </w:pPr>
      <w:r w:rsidRPr="00214D5E">
        <w:rPr>
          <w:rFonts w:ascii="Tahoma" w:hAnsi="Tahoma" w:cs="Tahoma"/>
        </w:rPr>
        <w:t xml:space="preserve">Finalmente, resulta importante traer a colación el </w:t>
      </w:r>
      <w:r w:rsidRPr="00214D5E">
        <w:rPr>
          <w:rFonts w:ascii="Tahoma" w:hAnsi="Tahoma" w:cs="Tahoma"/>
          <w:i/>
        </w:rPr>
        <w:t>principio de razonabilidad</w:t>
      </w:r>
      <w:r w:rsidRPr="00214D5E">
        <w:rPr>
          <w:rFonts w:ascii="Tahoma" w:hAnsi="Tahoma" w:cs="Tahoma"/>
        </w:rPr>
        <w:t xml:space="preserve"> consagrado en el numeral 1.4 del Artículo IV del Título Preliminar de la Ley del Procedimiento Administrativo General, por medio del cual las decisiones de la autoridad administrativa que impongan sanciones o establezcan restricciones a los administrados deben adoptarse dentro de los límites de la facultad atribuida y manteniendo debida proporción entre los medios a emplear y los fines públicos que deba tutelar, a fin que respondan a lo estrictamente necesario para la satisfacción de su cometido. </w:t>
      </w:r>
    </w:p>
    <w:p w:rsidR="001776B6" w:rsidRPr="00214D5E" w:rsidRDefault="001776B6" w:rsidP="001776B6">
      <w:pPr>
        <w:pStyle w:val="Prrafodelista"/>
        <w:jc w:val="both"/>
        <w:rPr>
          <w:rFonts w:ascii="Tahoma" w:hAnsi="Tahoma" w:cs="Tahoma"/>
        </w:rPr>
      </w:pPr>
    </w:p>
    <w:p w:rsidR="00DA127C" w:rsidRPr="00214D5E" w:rsidRDefault="00DA127C" w:rsidP="00DA127C">
      <w:pPr>
        <w:ind w:left="567" w:firstLine="567"/>
        <w:jc w:val="both"/>
        <w:rPr>
          <w:rFonts w:ascii="Tahoma" w:hAnsi="Tahoma" w:cs="Tahoma"/>
          <w:sz w:val="20"/>
          <w:szCs w:val="20"/>
        </w:rPr>
      </w:pPr>
      <w:r w:rsidRPr="00214D5E">
        <w:rPr>
          <w:rFonts w:ascii="Tahoma" w:hAnsi="Tahoma" w:cs="Tahoma"/>
          <w:color w:val="000000"/>
          <w:sz w:val="20"/>
          <w:szCs w:val="20"/>
        </w:rPr>
        <w:t xml:space="preserve">Por estos fundamentos, de conformidad con el informe del Vocal Ponente </w:t>
      </w:r>
      <w:r w:rsidRPr="00214D5E">
        <w:rPr>
          <w:rFonts w:ascii="Tahoma" w:hAnsi="Tahoma" w:cs="Tahoma"/>
          <w:sz w:val="20"/>
          <w:szCs w:val="20"/>
        </w:rPr>
        <w:t>Doctor Carlos Vicente Navas Rondón</w:t>
      </w:r>
      <w:r w:rsidRPr="00214D5E">
        <w:rPr>
          <w:rFonts w:ascii="Tahoma" w:hAnsi="Tahoma" w:cs="Tahoma"/>
          <w:color w:val="000000"/>
          <w:sz w:val="20"/>
          <w:szCs w:val="20"/>
        </w:rPr>
        <w:t xml:space="preserve"> y la intervención de las Vocales Dra. Janette Elke Ramírez Maynetto y Dra. Ada Basulto Liewald, y atendiendo a la reconformación de la Primera Sala del Tribunal de Contrataciones del Estado según lo dispuesto en la Resolución № 103-2011-OSCE/PRE de fecha 15 de febrero de 2011, y en ejercicio de las facultades conferidas en los artículos 53, 59 y 61 aprobado por Decreto Legislativo 1017, Ley de Contrataciones del Estado,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E13E6B" w:rsidRPr="00214D5E" w:rsidRDefault="00E13E6B" w:rsidP="00E13E6B">
      <w:pPr>
        <w:jc w:val="both"/>
        <w:rPr>
          <w:rFonts w:ascii="Tahoma" w:hAnsi="Tahoma" w:cs="Tahoma"/>
          <w:sz w:val="20"/>
          <w:szCs w:val="20"/>
        </w:rPr>
      </w:pPr>
    </w:p>
    <w:p w:rsidR="00E13E6B" w:rsidRPr="00214D5E" w:rsidRDefault="00E13E6B" w:rsidP="00E13E6B">
      <w:pPr>
        <w:ind w:firstLine="567"/>
        <w:jc w:val="both"/>
        <w:rPr>
          <w:rFonts w:ascii="Tahoma" w:hAnsi="Tahoma" w:cs="Tahoma"/>
          <w:b/>
          <w:sz w:val="20"/>
          <w:szCs w:val="20"/>
        </w:rPr>
      </w:pPr>
      <w:r w:rsidRPr="00214D5E">
        <w:rPr>
          <w:rFonts w:ascii="Tahoma" w:hAnsi="Tahoma" w:cs="Tahoma"/>
          <w:b/>
          <w:sz w:val="20"/>
          <w:szCs w:val="20"/>
        </w:rPr>
        <w:t xml:space="preserve">LA SALA RESUELVE: </w:t>
      </w:r>
    </w:p>
    <w:p w:rsidR="00E13E6B" w:rsidRPr="00214D5E" w:rsidRDefault="00E13E6B" w:rsidP="00E13E6B">
      <w:pPr>
        <w:ind w:left="400"/>
        <w:jc w:val="both"/>
        <w:rPr>
          <w:rFonts w:ascii="Tahoma" w:hAnsi="Tahoma" w:cs="Tahoma"/>
          <w:snapToGrid w:val="0"/>
          <w:sz w:val="20"/>
          <w:szCs w:val="20"/>
        </w:rPr>
      </w:pPr>
    </w:p>
    <w:p w:rsidR="00214D5E" w:rsidRPr="00214D5E" w:rsidRDefault="00214D5E" w:rsidP="00214D5E">
      <w:pPr>
        <w:pStyle w:val="Textoindependiente2"/>
        <w:numPr>
          <w:ilvl w:val="0"/>
          <w:numId w:val="16"/>
        </w:numPr>
        <w:tabs>
          <w:tab w:val="clear" w:pos="8100"/>
          <w:tab w:val="num" w:pos="540"/>
        </w:tabs>
        <w:spacing w:after="0" w:line="240" w:lineRule="auto"/>
        <w:ind w:left="540" w:hanging="540"/>
        <w:jc w:val="both"/>
        <w:rPr>
          <w:rFonts w:ascii="Tahoma" w:hAnsi="Tahoma" w:cs="Tahoma"/>
          <w:sz w:val="20"/>
          <w:szCs w:val="20"/>
        </w:rPr>
      </w:pPr>
      <w:r w:rsidRPr="00214D5E">
        <w:rPr>
          <w:rFonts w:ascii="Tahoma" w:hAnsi="Tahoma" w:cs="Tahoma"/>
          <w:sz w:val="20"/>
          <w:szCs w:val="20"/>
        </w:rPr>
        <w:t>Imponer al señor EVACIO MARCOS CONDORI sanción administrativa de inhabilitación temporal por el período de doce (12) meses en sus derechos de participar en procesos de selección y contratar con el Estado, derivado de la Adjudicación de Menor Cuantía № 0949-2008/GOB.REG.HVCA/CEP, Segunda Convocatoria, por la comisión de la infracción tipificada en el literal b) del numeral 51.1 del artículo 51 de la Ley en concordancia con el literal b) del numeral 1) del artículo 237 del Reglamento, la cual entrará en vigencia a partir del sexto día hábil siguiente de su notificación.</w:t>
      </w:r>
    </w:p>
    <w:p w:rsidR="00214D5E" w:rsidRPr="00214D5E" w:rsidRDefault="00214D5E" w:rsidP="00214D5E">
      <w:pPr>
        <w:pStyle w:val="Textoindependiente2"/>
        <w:spacing w:after="0" w:line="240" w:lineRule="auto"/>
        <w:ind w:left="540"/>
        <w:jc w:val="both"/>
        <w:rPr>
          <w:rFonts w:ascii="Tahoma" w:hAnsi="Tahoma" w:cs="Tahoma"/>
          <w:sz w:val="20"/>
          <w:szCs w:val="20"/>
        </w:rPr>
      </w:pPr>
    </w:p>
    <w:p w:rsidR="00214D5E" w:rsidRPr="00214D5E" w:rsidRDefault="00214D5E" w:rsidP="00214D5E">
      <w:pPr>
        <w:pStyle w:val="Textoindependiente2"/>
        <w:numPr>
          <w:ilvl w:val="0"/>
          <w:numId w:val="16"/>
        </w:numPr>
        <w:tabs>
          <w:tab w:val="clear" w:pos="8100"/>
          <w:tab w:val="num" w:pos="540"/>
        </w:tabs>
        <w:spacing w:after="0" w:line="240" w:lineRule="auto"/>
        <w:ind w:left="540" w:hanging="540"/>
        <w:jc w:val="both"/>
        <w:rPr>
          <w:rFonts w:ascii="Tahoma" w:hAnsi="Tahoma" w:cs="Tahoma"/>
          <w:sz w:val="20"/>
          <w:szCs w:val="20"/>
        </w:rPr>
      </w:pPr>
      <w:r w:rsidRPr="00214D5E">
        <w:rPr>
          <w:rFonts w:ascii="Tahoma" w:hAnsi="Tahoma" w:cs="Tahoma"/>
          <w:sz w:val="20"/>
          <w:szCs w:val="20"/>
        </w:rPr>
        <w:t>Poner la presente Resolución en conocimiento de la Subdirección del Registro Nacional de Proveedores del Organismo Supervisor de las Contrataciones del Estado (OSCE), para las anotaciones de ley.</w:t>
      </w:r>
    </w:p>
    <w:p w:rsidR="00E13E6B" w:rsidRPr="00214D5E" w:rsidRDefault="00E13E6B" w:rsidP="00E13E6B">
      <w:pPr>
        <w:pStyle w:val="Prrafodelista"/>
        <w:jc w:val="both"/>
        <w:rPr>
          <w:rFonts w:ascii="Tahoma" w:hAnsi="Tahoma" w:cs="Tahoma"/>
        </w:rPr>
      </w:pPr>
    </w:p>
    <w:p w:rsidR="00E13E6B" w:rsidRPr="00214D5E" w:rsidRDefault="00E13E6B" w:rsidP="00E13E6B">
      <w:pPr>
        <w:pStyle w:val="Textoindependiente21"/>
        <w:ind w:firstLine="360"/>
        <w:rPr>
          <w:rFonts w:cs="Tahoma"/>
          <w:sz w:val="20"/>
        </w:rPr>
      </w:pPr>
      <w:r w:rsidRPr="00214D5E">
        <w:rPr>
          <w:rFonts w:cs="Tahoma"/>
          <w:sz w:val="20"/>
        </w:rPr>
        <w:t>Regístrese, comuníquese y publíquese.</w:t>
      </w:r>
    </w:p>
    <w:p w:rsidR="00E13E6B" w:rsidRPr="00214D5E" w:rsidRDefault="00E13E6B" w:rsidP="00E13E6B">
      <w:pPr>
        <w:jc w:val="both"/>
        <w:rPr>
          <w:rFonts w:ascii="Tahoma" w:hAnsi="Tahoma" w:cs="Tahoma"/>
          <w:b/>
          <w:bCs/>
          <w:shadow/>
          <w:sz w:val="20"/>
          <w:szCs w:val="20"/>
        </w:rPr>
      </w:pPr>
    </w:p>
    <w:p w:rsidR="00A52C81" w:rsidRPr="00214D5E" w:rsidRDefault="00A52C81" w:rsidP="00E13E6B">
      <w:pPr>
        <w:jc w:val="both"/>
        <w:rPr>
          <w:rFonts w:ascii="Tahoma" w:hAnsi="Tahoma" w:cs="Tahoma"/>
          <w:b/>
          <w:bCs/>
          <w:shadow/>
          <w:sz w:val="20"/>
          <w:szCs w:val="20"/>
        </w:rPr>
      </w:pPr>
    </w:p>
    <w:p w:rsidR="006E5BF8" w:rsidRPr="00214D5E" w:rsidRDefault="006E5BF8" w:rsidP="00E13E6B">
      <w:pPr>
        <w:jc w:val="both"/>
        <w:rPr>
          <w:rFonts w:ascii="Tahoma" w:hAnsi="Tahoma" w:cs="Tahoma"/>
          <w:b/>
          <w:bCs/>
          <w:shadow/>
          <w:sz w:val="20"/>
          <w:szCs w:val="20"/>
        </w:rPr>
      </w:pPr>
    </w:p>
    <w:p w:rsidR="00DA127C" w:rsidRPr="00214D5E" w:rsidRDefault="00DA127C" w:rsidP="00E13E6B">
      <w:pPr>
        <w:jc w:val="both"/>
        <w:rPr>
          <w:rFonts w:ascii="Tahoma" w:hAnsi="Tahoma" w:cs="Tahoma"/>
          <w:b/>
          <w:bCs/>
          <w:shadow/>
          <w:sz w:val="20"/>
          <w:szCs w:val="20"/>
        </w:rPr>
      </w:pPr>
    </w:p>
    <w:p w:rsidR="00DA127C" w:rsidRPr="00214D5E" w:rsidRDefault="00DA127C" w:rsidP="00E13E6B">
      <w:pPr>
        <w:jc w:val="both"/>
        <w:rPr>
          <w:rFonts w:ascii="Tahoma" w:hAnsi="Tahoma" w:cs="Tahoma"/>
          <w:b/>
          <w:bCs/>
          <w:shadow/>
          <w:sz w:val="20"/>
          <w:szCs w:val="20"/>
        </w:rPr>
      </w:pPr>
    </w:p>
    <w:p w:rsidR="00DA127C" w:rsidRPr="00214D5E" w:rsidRDefault="00DA127C" w:rsidP="00E13E6B">
      <w:pPr>
        <w:jc w:val="both"/>
        <w:rPr>
          <w:rFonts w:ascii="Tahoma" w:hAnsi="Tahoma" w:cs="Tahoma"/>
          <w:b/>
          <w:bCs/>
          <w:shadow/>
          <w:sz w:val="20"/>
          <w:szCs w:val="20"/>
        </w:rPr>
      </w:pPr>
    </w:p>
    <w:p w:rsidR="00EC4953" w:rsidRPr="00214D5E" w:rsidRDefault="00EC4953" w:rsidP="00E13E6B">
      <w:pPr>
        <w:jc w:val="both"/>
        <w:rPr>
          <w:rFonts w:ascii="Tahoma" w:hAnsi="Tahoma" w:cs="Tahoma"/>
          <w:b/>
          <w:bCs/>
          <w:shadow/>
          <w:sz w:val="20"/>
          <w:szCs w:val="20"/>
        </w:rPr>
      </w:pPr>
    </w:p>
    <w:p w:rsidR="00E13E6B" w:rsidRPr="00214D5E" w:rsidRDefault="00E13E6B" w:rsidP="00295C50">
      <w:pPr>
        <w:jc w:val="center"/>
        <w:rPr>
          <w:rFonts w:ascii="Tahoma" w:hAnsi="Tahoma" w:cs="Tahoma"/>
          <w:b/>
          <w:bCs/>
          <w:shadow/>
          <w:sz w:val="20"/>
          <w:szCs w:val="20"/>
        </w:rPr>
      </w:pPr>
      <w:r w:rsidRPr="00214D5E">
        <w:rPr>
          <w:rFonts w:ascii="Tahoma" w:hAnsi="Tahoma" w:cs="Tahoma"/>
          <w:b/>
          <w:bCs/>
          <w:shadow/>
          <w:sz w:val="20"/>
          <w:szCs w:val="20"/>
        </w:rPr>
        <w:lastRenderedPageBreak/>
        <w:t>PRESIDENTE</w:t>
      </w:r>
    </w:p>
    <w:p w:rsidR="00E13E6B" w:rsidRPr="00214D5E" w:rsidRDefault="00E13E6B" w:rsidP="00C5251B">
      <w:pPr>
        <w:jc w:val="center"/>
        <w:rPr>
          <w:rFonts w:ascii="Tahoma" w:hAnsi="Tahoma" w:cs="Tahoma"/>
          <w:b/>
          <w:bCs/>
          <w:shadow/>
          <w:sz w:val="20"/>
          <w:szCs w:val="20"/>
        </w:rPr>
      </w:pPr>
    </w:p>
    <w:p w:rsidR="00E13E6B" w:rsidRPr="00214D5E" w:rsidRDefault="00E13E6B" w:rsidP="00C5251B">
      <w:pPr>
        <w:jc w:val="center"/>
        <w:rPr>
          <w:rFonts w:ascii="Tahoma" w:hAnsi="Tahoma" w:cs="Tahoma"/>
          <w:b/>
          <w:bCs/>
          <w:shadow/>
          <w:sz w:val="20"/>
          <w:szCs w:val="20"/>
        </w:rPr>
      </w:pPr>
    </w:p>
    <w:p w:rsidR="00DA127C" w:rsidRPr="00214D5E" w:rsidRDefault="00DA127C" w:rsidP="00C5251B">
      <w:pPr>
        <w:jc w:val="center"/>
        <w:rPr>
          <w:rFonts w:ascii="Tahoma" w:hAnsi="Tahoma" w:cs="Tahoma"/>
          <w:b/>
          <w:bCs/>
          <w:shadow/>
          <w:sz w:val="20"/>
          <w:szCs w:val="20"/>
        </w:rPr>
      </w:pPr>
    </w:p>
    <w:p w:rsidR="00DA127C" w:rsidRPr="00214D5E" w:rsidRDefault="00DA127C" w:rsidP="00C5251B">
      <w:pPr>
        <w:jc w:val="center"/>
        <w:rPr>
          <w:rFonts w:ascii="Tahoma" w:hAnsi="Tahoma" w:cs="Tahoma"/>
          <w:b/>
          <w:bCs/>
          <w:shadow/>
          <w:sz w:val="20"/>
          <w:szCs w:val="20"/>
        </w:rPr>
      </w:pPr>
    </w:p>
    <w:p w:rsidR="00E13E6B" w:rsidRPr="00214D5E" w:rsidRDefault="00E13E6B" w:rsidP="00C5251B">
      <w:pPr>
        <w:jc w:val="center"/>
        <w:rPr>
          <w:rFonts w:ascii="Tahoma" w:hAnsi="Tahoma" w:cs="Tahoma"/>
          <w:b/>
          <w:bCs/>
          <w:shadow/>
          <w:sz w:val="20"/>
          <w:szCs w:val="20"/>
        </w:rPr>
      </w:pPr>
    </w:p>
    <w:p w:rsidR="00E13E6B" w:rsidRPr="00214D5E" w:rsidRDefault="00E13E6B" w:rsidP="00C5251B">
      <w:pPr>
        <w:jc w:val="center"/>
        <w:rPr>
          <w:rFonts w:ascii="Tahoma" w:hAnsi="Tahoma" w:cs="Tahoma"/>
          <w:b/>
          <w:shadow/>
          <w:sz w:val="20"/>
          <w:szCs w:val="20"/>
        </w:rPr>
      </w:pPr>
      <w:r w:rsidRPr="00214D5E">
        <w:rPr>
          <w:rFonts w:ascii="Tahoma" w:hAnsi="Tahoma" w:cs="Tahoma"/>
          <w:b/>
          <w:shadow/>
          <w:sz w:val="20"/>
          <w:szCs w:val="20"/>
        </w:rPr>
        <w:t xml:space="preserve">VOCAL           </w:t>
      </w:r>
      <w:r w:rsidRPr="00214D5E">
        <w:rPr>
          <w:rFonts w:ascii="Tahoma" w:hAnsi="Tahoma" w:cs="Tahoma"/>
          <w:b/>
          <w:shadow/>
          <w:sz w:val="20"/>
          <w:szCs w:val="20"/>
        </w:rPr>
        <w:tab/>
      </w:r>
      <w:r w:rsidRPr="00214D5E">
        <w:rPr>
          <w:rFonts w:ascii="Tahoma" w:hAnsi="Tahoma" w:cs="Tahoma"/>
          <w:b/>
          <w:shadow/>
          <w:sz w:val="20"/>
          <w:szCs w:val="20"/>
        </w:rPr>
        <w:tab/>
        <w:t xml:space="preserve">                                                                VOCAL</w:t>
      </w:r>
    </w:p>
    <w:p w:rsidR="00635F2E" w:rsidRPr="00214D5E" w:rsidRDefault="00635F2E" w:rsidP="00E13E6B">
      <w:pPr>
        <w:jc w:val="both"/>
        <w:rPr>
          <w:rFonts w:ascii="Tahoma" w:hAnsi="Tahoma" w:cs="Tahoma"/>
          <w:sz w:val="20"/>
          <w:szCs w:val="20"/>
        </w:rPr>
      </w:pPr>
    </w:p>
    <w:p w:rsidR="00635F2E" w:rsidRPr="00214D5E" w:rsidRDefault="00635F2E" w:rsidP="00E13E6B">
      <w:pPr>
        <w:jc w:val="both"/>
        <w:rPr>
          <w:rFonts w:ascii="Tahoma" w:hAnsi="Tahoma" w:cs="Tahoma"/>
          <w:sz w:val="20"/>
          <w:szCs w:val="20"/>
        </w:rPr>
      </w:pPr>
    </w:p>
    <w:p w:rsidR="00635F2E" w:rsidRPr="00214D5E" w:rsidRDefault="00635F2E" w:rsidP="00E13E6B">
      <w:pPr>
        <w:jc w:val="both"/>
        <w:rPr>
          <w:rFonts w:ascii="Tahoma" w:hAnsi="Tahoma" w:cs="Tahoma"/>
          <w:sz w:val="20"/>
          <w:szCs w:val="20"/>
        </w:rPr>
      </w:pPr>
    </w:p>
    <w:p w:rsidR="00E13E6B" w:rsidRPr="00214D5E" w:rsidRDefault="00E13E6B" w:rsidP="00E13E6B">
      <w:pPr>
        <w:jc w:val="both"/>
        <w:rPr>
          <w:rFonts w:ascii="Tahoma" w:hAnsi="Tahoma" w:cs="Tahoma"/>
          <w:sz w:val="20"/>
          <w:szCs w:val="20"/>
        </w:rPr>
      </w:pPr>
      <w:r w:rsidRPr="00214D5E">
        <w:rPr>
          <w:rFonts w:ascii="Tahoma" w:hAnsi="Tahoma" w:cs="Tahoma"/>
          <w:sz w:val="20"/>
          <w:szCs w:val="20"/>
        </w:rPr>
        <w:t>ss.</w:t>
      </w:r>
    </w:p>
    <w:p w:rsidR="00351F6F" w:rsidRPr="00214D5E" w:rsidRDefault="00351F6F" w:rsidP="00351F6F">
      <w:pPr>
        <w:jc w:val="both"/>
        <w:rPr>
          <w:rFonts w:ascii="Tahoma" w:hAnsi="Tahoma" w:cs="Tahoma"/>
          <w:sz w:val="20"/>
          <w:szCs w:val="20"/>
        </w:rPr>
      </w:pPr>
      <w:r w:rsidRPr="00214D5E">
        <w:rPr>
          <w:rFonts w:ascii="Tahoma" w:hAnsi="Tahoma" w:cs="Tahoma"/>
          <w:sz w:val="20"/>
          <w:szCs w:val="20"/>
        </w:rPr>
        <w:t>Navas Rondón</w:t>
      </w:r>
    </w:p>
    <w:p w:rsidR="00351F6F" w:rsidRPr="00214D5E" w:rsidRDefault="00351F6F" w:rsidP="00351F6F">
      <w:pPr>
        <w:jc w:val="both"/>
        <w:rPr>
          <w:rFonts w:ascii="Tahoma" w:hAnsi="Tahoma" w:cs="Tahoma"/>
          <w:color w:val="000000"/>
          <w:sz w:val="20"/>
          <w:szCs w:val="20"/>
        </w:rPr>
      </w:pPr>
      <w:r w:rsidRPr="00214D5E">
        <w:rPr>
          <w:rFonts w:ascii="Tahoma" w:hAnsi="Tahoma" w:cs="Tahoma"/>
          <w:color w:val="000000"/>
          <w:sz w:val="20"/>
          <w:szCs w:val="20"/>
        </w:rPr>
        <w:t xml:space="preserve">Ramírez Maynetto </w:t>
      </w:r>
    </w:p>
    <w:p w:rsidR="00351F6F" w:rsidRPr="00214D5E" w:rsidRDefault="00351F6F" w:rsidP="00351F6F">
      <w:pPr>
        <w:jc w:val="both"/>
        <w:rPr>
          <w:rFonts w:ascii="Tahoma" w:hAnsi="Tahoma" w:cs="Tahoma"/>
          <w:sz w:val="20"/>
          <w:szCs w:val="20"/>
        </w:rPr>
      </w:pPr>
      <w:r w:rsidRPr="00214D5E">
        <w:rPr>
          <w:rFonts w:ascii="Tahoma" w:hAnsi="Tahoma" w:cs="Tahoma"/>
          <w:sz w:val="20"/>
          <w:szCs w:val="20"/>
        </w:rPr>
        <w:t>Basulto Liewald.</w:t>
      </w:r>
    </w:p>
    <w:p w:rsidR="002C6D86" w:rsidRPr="00214D5E" w:rsidRDefault="00A26B58" w:rsidP="00351F6F">
      <w:pPr>
        <w:jc w:val="both"/>
        <w:rPr>
          <w:rFonts w:ascii="Tahoma" w:hAnsi="Tahoma" w:cs="Tahoma"/>
          <w:sz w:val="20"/>
          <w:szCs w:val="20"/>
        </w:rPr>
      </w:pPr>
    </w:p>
    <w:sectPr w:rsidR="002C6D86" w:rsidRPr="00214D5E" w:rsidSect="009E0365">
      <w:headerReference w:type="default" r:id="rId7"/>
      <w:footerReference w:type="default" r:id="rId8"/>
      <w:pgSz w:w="11906" w:h="16838"/>
      <w:pgMar w:top="3345" w:right="1644" w:bottom="1644" w:left="1644" w:header="709" w:footer="1298" w:gutter="0"/>
      <w:pgBorders w:offsetFrom="page">
        <w:top w:val="single" w:sz="4" w:space="24" w:color="FFFFFF"/>
        <w:left w:val="single" w:sz="4" w:space="24" w:color="FFFFFF"/>
        <w:bottom w:val="single" w:sz="4" w:space="24" w:color="FFFFFF"/>
        <w:right w:val="single" w:sz="4" w:space="24" w:color="FFFFFF"/>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6B58" w:rsidRDefault="00A26B58" w:rsidP="00E13E6B">
      <w:r>
        <w:separator/>
      </w:r>
    </w:p>
  </w:endnote>
  <w:endnote w:type="continuationSeparator" w:id="1">
    <w:p w:rsidR="00A26B58" w:rsidRDefault="00A26B58" w:rsidP="00E13E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66F0" w:rsidRDefault="00A26B58" w:rsidP="00E066F0">
    <w:pPr>
      <w:pStyle w:val="Piedepgina"/>
      <w:jc w:val="center"/>
    </w:pPr>
  </w:p>
  <w:p w:rsidR="00E066F0" w:rsidRDefault="005B0EEA" w:rsidP="00E066F0">
    <w:pPr>
      <w:pStyle w:val="Piedepgina"/>
      <w:jc w:val="center"/>
    </w:pPr>
    <w:r>
      <w:t xml:space="preserve">Página </w:t>
    </w:r>
    <w:r w:rsidR="0070587A">
      <w:fldChar w:fldCharType="begin"/>
    </w:r>
    <w:r>
      <w:instrText>PAGE</w:instrText>
    </w:r>
    <w:r w:rsidR="0070587A">
      <w:fldChar w:fldCharType="separate"/>
    </w:r>
    <w:r w:rsidR="00743105">
      <w:rPr>
        <w:noProof/>
      </w:rPr>
      <w:t>1</w:t>
    </w:r>
    <w:r w:rsidR="0070587A">
      <w:fldChar w:fldCharType="end"/>
    </w:r>
    <w:r w:rsidRPr="006214E4">
      <w:t xml:space="preserve"> de </w:t>
    </w:r>
    <w:r w:rsidR="0070587A">
      <w:fldChar w:fldCharType="begin"/>
    </w:r>
    <w:r>
      <w:instrText>NUMPAGES</w:instrText>
    </w:r>
    <w:r w:rsidR="0070587A">
      <w:fldChar w:fldCharType="separate"/>
    </w:r>
    <w:r w:rsidR="00743105">
      <w:rPr>
        <w:noProof/>
      </w:rPr>
      <w:t>10</w:t>
    </w:r>
    <w:r w:rsidR="0070587A">
      <w:fldChar w:fldCharType="end"/>
    </w:r>
  </w:p>
  <w:p w:rsidR="00E066F0" w:rsidRPr="00223795" w:rsidRDefault="00A26B58" w:rsidP="00E066F0">
    <w:pPr>
      <w:pStyle w:val="Piedepgina"/>
      <w:rPr>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6B58" w:rsidRDefault="00A26B58" w:rsidP="00E13E6B">
      <w:r>
        <w:separator/>
      </w:r>
    </w:p>
  </w:footnote>
  <w:footnote w:type="continuationSeparator" w:id="1">
    <w:p w:rsidR="00A26B58" w:rsidRDefault="00A26B58" w:rsidP="00E13E6B">
      <w:r>
        <w:continuationSeparator/>
      </w:r>
    </w:p>
  </w:footnote>
  <w:footnote w:id="2">
    <w:p w:rsidR="00214D5E" w:rsidRPr="00227330" w:rsidRDefault="00214D5E" w:rsidP="00214D5E">
      <w:pPr>
        <w:pStyle w:val="Textonotapie"/>
        <w:rPr>
          <w:sz w:val="15"/>
          <w:szCs w:val="15"/>
        </w:rPr>
      </w:pPr>
      <w:r w:rsidRPr="00227330">
        <w:rPr>
          <w:rStyle w:val="Refdenotaalpie"/>
          <w:sz w:val="15"/>
          <w:szCs w:val="15"/>
        </w:rPr>
        <w:footnoteRef/>
      </w:r>
      <w:r w:rsidRPr="00227330">
        <w:rPr>
          <w:sz w:val="15"/>
          <w:szCs w:val="15"/>
        </w:rPr>
        <w:t xml:space="preserve"> </w:t>
      </w:r>
      <w:r w:rsidRPr="00227330">
        <w:rPr>
          <w:b/>
          <w:sz w:val="15"/>
          <w:szCs w:val="15"/>
        </w:rPr>
        <w:t>Artículo 51.- Infracciones y sanciones administrativas</w:t>
      </w:r>
    </w:p>
    <w:p w:rsidR="00214D5E" w:rsidRPr="00227330" w:rsidRDefault="00214D5E" w:rsidP="00214D5E">
      <w:pPr>
        <w:pStyle w:val="Textonotapie"/>
        <w:rPr>
          <w:sz w:val="15"/>
          <w:szCs w:val="15"/>
        </w:rPr>
      </w:pPr>
      <w:r w:rsidRPr="00227330">
        <w:rPr>
          <w:sz w:val="15"/>
          <w:szCs w:val="15"/>
        </w:rPr>
        <w:t>51.1 Infracciones</w:t>
      </w:r>
    </w:p>
    <w:p w:rsidR="00214D5E" w:rsidRPr="00227330" w:rsidRDefault="00214D5E" w:rsidP="00214D5E">
      <w:pPr>
        <w:pStyle w:val="Textonotapie"/>
        <w:rPr>
          <w:sz w:val="15"/>
          <w:szCs w:val="15"/>
        </w:rPr>
      </w:pPr>
      <w:r w:rsidRPr="00227330">
        <w:rPr>
          <w:sz w:val="15"/>
          <w:szCs w:val="15"/>
        </w:rPr>
        <w:t>Se impondrá sanción administrativa a los proveedores, participantes, postores y/o contratistas que:</w:t>
      </w:r>
    </w:p>
    <w:p w:rsidR="00214D5E" w:rsidRPr="00227330" w:rsidRDefault="00214D5E" w:rsidP="00214D5E">
      <w:pPr>
        <w:pStyle w:val="Textonotapie"/>
        <w:rPr>
          <w:sz w:val="15"/>
          <w:szCs w:val="15"/>
        </w:rPr>
      </w:pPr>
      <w:r w:rsidRPr="00227330">
        <w:rPr>
          <w:sz w:val="15"/>
          <w:szCs w:val="15"/>
        </w:rPr>
        <w:t>(…)</w:t>
      </w:r>
    </w:p>
    <w:p w:rsidR="00214D5E" w:rsidRPr="00227330" w:rsidRDefault="00214D5E" w:rsidP="00214D5E">
      <w:pPr>
        <w:pStyle w:val="Textonotapie"/>
        <w:rPr>
          <w:sz w:val="15"/>
          <w:szCs w:val="15"/>
        </w:rPr>
      </w:pPr>
      <w:r w:rsidRPr="00227330">
        <w:rPr>
          <w:sz w:val="15"/>
          <w:szCs w:val="15"/>
        </w:rPr>
        <w:t>b) Den lugar a la resolución del contrato, orden de compra o de servicios por causal atribuible a su  parte;</w:t>
      </w:r>
    </w:p>
  </w:footnote>
  <w:footnote w:id="3">
    <w:p w:rsidR="00214D5E" w:rsidRPr="00227330" w:rsidRDefault="00214D5E" w:rsidP="00214D5E">
      <w:pPr>
        <w:pStyle w:val="Textonotapie"/>
        <w:rPr>
          <w:sz w:val="15"/>
          <w:szCs w:val="15"/>
        </w:rPr>
      </w:pPr>
      <w:r w:rsidRPr="00227330">
        <w:rPr>
          <w:rStyle w:val="Refdenotaalpie"/>
          <w:sz w:val="15"/>
          <w:szCs w:val="15"/>
        </w:rPr>
        <w:footnoteRef/>
      </w:r>
      <w:r w:rsidRPr="00227330">
        <w:rPr>
          <w:sz w:val="15"/>
          <w:szCs w:val="15"/>
        </w:rPr>
        <w:t xml:space="preserve"> </w:t>
      </w:r>
      <w:r w:rsidRPr="00227330">
        <w:rPr>
          <w:b/>
          <w:bCs/>
          <w:sz w:val="15"/>
          <w:szCs w:val="15"/>
        </w:rPr>
        <w:t>Artículo 237.- Causales de aplicación de sanción a los proveedores, participantes, postores y contratistas</w:t>
      </w:r>
    </w:p>
    <w:p w:rsidR="00214D5E" w:rsidRPr="00227330" w:rsidRDefault="00214D5E" w:rsidP="00214D5E">
      <w:pPr>
        <w:pStyle w:val="Textonotapie"/>
        <w:rPr>
          <w:sz w:val="15"/>
          <w:szCs w:val="15"/>
        </w:rPr>
      </w:pPr>
      <w:r w:rsidRPr="00227330">
        <w:rPr>
          <w:sz w:val="15"/>
          <w:szCs w:val="15"/>
        </w:rPr>
        <w:t>El Tribunal impondrá la sanción administrativa de inhabilitación temporal o definitiva a los proveedores, participantes, postores y/o contratistas que:</w:t>
      </w:r>
    </w:p>
    <w:p w:rsidR="00214D5E" w:rsidRPr="00227330" w:rsidRDefault="00214D5E" w:rsidP="00214D5E">
      <w:pPr>
        <w:pStyle w:val="Textonotapie"/>
        <w:rPr>
          <w:sz w:val="15"/>
          <w:szCs w:val="15"/>
        </w:rPr>
      </w:pPr>
      <w:r w:rsidRPr="00227330">
        <w:rPr>
          <w:sz w:val="15"/>
          <w:szCs w:val="15"/>
        </w:rPr>
        <w:t>(…)</w:t>
      </w:r>
    </w:p>
    <w:p w:rsidR="00214D5E" w:rsidRPr="00227330" w:rsidRDefault="00214D5E" w:rsidP="00214D5E">
      <w:pPr>
        <w:pStyle w:val="Textonotapie"/>
        <w:rPr>
          <w:sz w:val="15"/>
          <w:szCs w:val="15"/>
        </w:rPr>
      </w:pPr>
      <w:r w:rsidRPr="00227330">
        <w:rPr>
          <w:sz w:val="15"/>
          <w:szCs w:val="15"/>
        </w:rPr>
        <w:t>2) Den lugar a la resolución del contrato, orden de compra o de servicios por causal atribuible a su parte.</w:t>
      </w:r>
    </w:p>
    <w:p w:rsidR="00214D5E" w:rsidRPr="00237395" w:rsidRDefault="00214D5E" w:rsidP="00214D5E">
      <w:pPr>
        <w:pStyle w:val="Textonotapie"/>
        <w:rPr>
          <w:sz w:val="18"/>
          <w:szCs w:val="18"/>
        </w:rPr>
      </w:pPr>
    </w:p>
  </w:footnote>
  <w:footnote w:id="4">
    <w:p w:rsidR="00214D5E" w:rsidRPr="00CD30A1" w:rsidRDefault="00214D5E" w:rsidP="00214D5E">
      <w:pPr>
        <w:pStyle w:val="Textonotapie"/>
        <w:rPr>
          <w:rFonts w:cs="Tahoma"/>
          <w:sz w:val="18"/>
          <w:szCs w:val="18"/>
        </w:rPr>
      </w:pPr>
      <w:r w:rsidRPr="00D2155E">
        <w:rPr>
          <w:rStyle w:val="Refdenotaalpie"/>
          <w:rFonts w:ascii="Tahoma" w:hAnsi="Tahoma" w:cs="Tahoma"/>
          <w:sz w:val="14"/>
          <w:szCs w:val="14"/>
        </w:rPr>
        <w:footnoteRef/>
      </w:r>
      <w:r w:rsidRPr="00D2155E">
        <w:rPr>
          <w:rFonts w:ascii="Tahoma" w:hAnsi="Tahoma" w:cs="Tahoma"/>
          <w:sz w:val="14"/>
          <w:szCs w:val="14"/>
        </w:rPr>
        <w:t xml:space="preserve"> Acuerdo dictado en el marco de los entonces vigentes Texto Único Ordenado de la Ley de Contrataciones y Adquisiciones del Estado, aprobado por Decreto Supremo № 012-2001-PCM, y su Reglamento, aprobado por Decreto Supremo № 013-2001-PCM, pero que resulta igualmente aplicable al caso de autos por referirse a la misma materia.</w:t>
      </w:r>
    </w:p>
  </w:footnote>
  <w:footnote w:id="5">
    <w:p w:rsidR="00214D5E" w:rsidRPr="008A535F" w:rsidRDefault="00214D5E" w:rsidP="00214D5E">
      <w:pPr>
        <w:pStyle w:val="Textonotapie"/>
        <w:ind w:left="142" w:hanging="142"/>
        <w:rPr>
          <w:rFonts w:cs="Tahoma"/>
          <w:sz w:val="16"/>
          <w:szCs w:val="16"/>
        </w:rPr>
      </w:pPr>
      <w:r w:rsidRPr="008A535F">
        <w:rPr>
          <w:rStyle w:val="Refdenotaalpie"/>
          <w:rFonts w:cs="Tahoma"/>
          <w:i/>
          <w:sz w:val="16"/>
          <w:szCs w:val="16"/>
        </w:rPr>
        <w:footnoteRef/>
      </w:r>
      <w:r w:rsidRPr="008A535F">
        <w:rPr>
          <w:rFonts w:cs="Tahoma"/>
          <w:i/>
          <w:sz w:val="16"/>
          <w:szCs w:val="16"/>
        </w:rPr>
        <w:t xml:space="preserve"> </w:t>
      </w:r>
      <w:r w:rsidRPr="008A535F">
        <w:rPr>
          <w:rFonts w:cs="Tahoma"/>
          <w:b/>
          <w:sz w:val="16"/>
          <w:szCs w:val="16"/>
        </w:rPr>
        <w:t>Artículo 1329.-</w:t>
      </w:r>
      <w:r w:rsidRPr="008A535F">
        <w:rPr>
          <w:rFonts w:cs="Tahoma"/>
          <w:sz w:val="16"/>
          <w:szCs w:val="16"/>
        </w:rPr>
        <w:t xml:space="preserve"> Se presume que la inejecución de la obligación o su cumplimiento parcial, tardío o defectuoso obedece a culpa leve del deudor.</w:t>
      </w:r>
    </w:p>
    <w:p w:rsidR="00214D5E" w:rsidRPr="008A535F" w:rsidRDefault="00214D5E" w:rsidP="00214D5E">
      <w:pPr>
        <w:pStyle w:val="Textonotapie"/>
        <w:ind w:left="142" w:hanging="142"/>
        <w:rPr>
          <w:rFonts w:cs="Tahoma"/>
          <w:sz w:val="16"/>
          <w:szCs w:val="16"/>
        </w:rPr>
      </w:pPr>
    </w:p>
  </w:footnote>
  <w:footnote w:id="6">
    <w:p w:rsidR="00214D5E" w:rsidRPr="00DB2292" w:rsidRDefault="00214D5E" w:rsidP="00214D5E">
      <w:pPr>
        <w:pStyle w:val="Textonotapie"/>
        <w:rPr>
          <w:b/>
          <w:sz w:val="16"/>
          <w:szCs w:val="16"/>
        </w:rPr>
      </w:pPr>
      <w:r w:rsidRPr="00DB2292">
        <w:rPr>
          <w:rStyle w:val="Refdenotaalpie"/>
          <w:rFonts w:cs="Tahoma"/>
          <w:sz w:val="16"/>
          <w:szCs w:val="16"/>
        </w:rPr>
        <w:footnoteRef/>
      </w:r>
      <w:r w:rsidRPr="00DB2292">
        <w:rPr>
          <w:rFonts w:cs="Tahoma"/>
          <w:sz w:val="16"/>
          <w:szCs w:val="16"/>
        </w:rPr>
        <w:t xml:space="preserve"> </w:t>
      </w:r>
      <w:r w:rsidRPr="00DB2292">
        <w:rPr>
          <w:b/>
          <w:sz w:val="16"/>
          <w:szCs w:val="16"/>
        </w:rPr>
        <w:t>Artículo 245.- Determinación gradual de la sanción.-</w:t>
      </w:r>
    </w:p>
    <w:p w:rsidR="00214D5E" w:rsidRPr="00DB2292" w:rsidRDefault="00214D5E" w:rsidP="00214D5E">
      <w:pPr>
        <w:pStyle w:val="Textonotapie"/>
        <w:rPr>
          <w:sz w:val="16"/>
          <w:szCs w:val="16"/>
        </w:rPr>
      </w:pPr>
      <w:r w:rsidRPr="00DB2292">
        <w:rPr>
          <w:sz w:val="16"/>
          <w:szCs w:val="16"/>
        </w:rPr>
        <w:t xml:space="preserve"> Para graduar la sanción de inhabilitación temporal a imponerse conforme a las disposiciones del presente Titulo, el Tribunal considerará los siguientes criterios: </w:t>
      </w:r>
    </w:p>
    <w:p w:rsidR="00214D5E" w:rsidRPr="00DB2292" w:rsidRDefault="00214D5E" w:rsidP="00214D5E">
      <w:pPr>
        <w:pStyle w:val="Textonotapie"/>
        <w:numPr>
          <w:ilvl w:val="0"/>
          <w:numId w:val="14"/>
        </w:numPr>
        <w:rPr>
          <w:sz w:val="16"/>
          <w:szCs w:val="16"/>
        </w:rPr>
      </w:pPr>
      <w:r w:rsidRPr="00DB2292">
        <w:rPr>
          <w:sz w:val="16"/>
          <w:szCs w:val="16"/>
        </w:rPr>
        <w:t>Naturaleza de la infracción.</w:t>
      </w:r>
    </w:p>
    <w:p w:rsidR="00214D5E" w:rsidRPr="00DB2292" w:rsidRDefault="00214D5E" w:rsidP="00214D5E">
      <w:pPr>
        <w:pStyle w:val="Textonotapie"/>
        <w:numPr>
          <w:ilvl w:val="0"/>
          <w:numId w:val="14"/>
        </w:numPr>
        <w:rPr>
          <w:sz w:val="16"/>
          <w:szCs w:val="16"/>
        </w:rPr>
      </w:pPr>
      <w:r w:rsidRPr="00DB2292">
        <w:rPr>
          <w:sz w:val="16"/>
          <w:szCs w:val="16"/>
        </w:rPr>
        <w:t>Intencionalidad del infractor.</w:t>
      </w:r>
    </w:p>
    <w:p w:rsidR="00214D5E" w:rsidRPr="00DB2292" w:rsidRDefault="00214D5E" w:rsidP="00214D5E">
      <w:pPr>
        <w:pStyle w:val="Textonotapie"/>
        <w:numPr>
          <w:ilvl w:val="0"/>
          <w:numId w:val="14"/>
        </w:numPr>
        <w:rPr>
          <w:b/>
          <w:sz w:val="16"/>
          <w:szCs w:val="16"/>
        </w:rPr>
      </w:pPr>
      <w:r w:rsidRPr="00DB2292">
        <w:rPr>
          <w:sz w:val="16"/>
          <w:szCs w:val="16"/>
        </w:rPr>
        <w:t>Daño causado.</w:t>
      </w:r>
    </w:p>
    <w:p w:rsidR="00214D5E" w:rsidRPr="00DB2292" w:rsidRDefault="00214D5E" w:rsidP="00214D5E">
      <w:pPr>
        <w:pStyle w:val="Textonotapie"/>
        <w:numPr>
          <w:ilvl w:val="0"/>
          <w:numId w:val="14"/>
        </w:numPr>
        <w:rPr>
          <w:b/>
          <w:sz w:val="16"/>
          <w:szCs w:val="16"/>
        </w:rPr>
      </w:pPr>
      <w:r w:rsidRPr="00DB2292">
        <w:rPr>
          <w:sz w:val="16"/>
          <w:szCs w:val="16"/>
        </w:rPr>
        <w:t>Reiterancia.</w:t>
      </w:r>
    </w:p>
    <w:p w:rsidR="00214D5E" w:rsidRPr="00DB2292" w:rsidRDefault="00214D5E" w:rsidP="00214D5E">
      <w:pPr>
        <w:pStyle w:val="Textonotapie"/>
        <w:numPr>
          <w:ilvl w:val="0"/>
          <w:numId w:val="14"/>
        </w:numPr>
        <w:rPr>
          <w:b/>
          <w:sz w:val="16"/>
          <w:szCs w:val="16"/>
        </w:rPr>
      </w:pPr>
      <w:r w:rsidRPr="00DB2292">
        <w:rPr>
          <w:sz w:val="16"/>
          <w:szCs w:val="16"/>
        </w:rPr>
        <w:t>El reconocimiento de la infracción antes de que sea detectada.</w:t>
      </w:r>
    </w:p>
    <w:p w:rsidR="00214D5E" w:rsidRPr="00DB2292" w:rsidRDefault="00214D5E" w:rsidP="00214D5E">
      <w:pPr>
        <w:pStyle w:val="Textonotapie"/>
        <w:numPr>
          <w:ilvl w:val="0"/>
          <w:numId w:val="14"/>
        </w:numPr>
        <w:rPr>
          <w:b/>
          <w:sz w:val="16"/>
          <w:szCs w:val="16"/>
        </w:rPr>
      </w:pPr>
      <w:r w:rsidRPr="00DB2292">
        <w:rPr>
          <w:sz w:val="16"/>
          <w:szCs w:val="16"/>
        </w:rPr>
        <w:t>Circunstancias de tiempo, lugar y modo.</w:t>
      </w:r>
    </w:p>
    <w:p w:rsidR="00214D5E" w:rsidRPr="00DB2292" w:rsidRDefault="00214D5E" w:rsidP="00214D5E">
      <w:pPr>
        <w:pStyle w:val="Textonotapie"/>
        <w:numPr>
          <w:ilvl w:val="0"/>
          <w:numId w:val="14"/>
        </w:numPr>
        <w:rPr>
          <w:b/>
          <w:sz w:val="16"/>
          <w:szCs w:val="16"/>
        </w:rPr>
      </w:pPr>
      <w:r w:rsidRPr="00DB2292">
        <w:rPr>
          <w:sz w:val="16"/>
          <w:szCs w:val="16"/>
        </w:rPr>
        <w:t>Condiciones del Infractor.</w:t>
      </w:r>
    </w:p>
    <w:p w:rsidR="00214D5E" w:rsidRPr="00DB2292" w:rsidRDefault="00214D5E" w:rsidP="00214D5E">
      <w:pPr>
        <w:pStyle w:val="Textonotapie"/>
        <w:numPr>
          <w:ilvl w:val="0"/>
          <w:numId w:val="14"/>
        </w:numPr>
        <w:rPr>
          <w:b/>
          <w:sz w:val="16"/>
          <w:szCs w:val="16"/>
        </w:rPr>
      </w:pPr>
      <w:r w:rsidRPr="00DB2292">
        <w:rPr>
          <w:sz w:val="16"/>
          <w:szCs w:val="16"/>
        </w:rPr>
        <w:t>Conducta procesal del infractor.</w:t>
      </w:r>
    </w:p>
    <w:p w:rsidR="00214D5E" w:rsidRPr="00616C93" w:rsidRDefault="00214D5E" w:rsidP="00214D5E">
      <w:pPr>
        <w:pStyle w:val="Textonotapie"/>
        <w:ind w:left="120"/>
        <w:rPr>
          <w:sz w:val="16"/>
          <w:szCs w:val="16"/>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105" w:rsidRDefault="00743105" w:rsidP="00743105">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743105" w:rsidRDefault="00743105" w:rsidP="00743105">
    <w:pPr>
      <w:pStyle w:val="Encabezado"/>
      <w:rPr>
        <w:noProof/>
      </w:rPr>
    </w:pPr>
  </w:p>
  <w:p w:rsidR="00743105" w:rsidRDefault="00743105" w:rsidP="00743105">
    <w:pPr>
      <w:pStyle w:val="Encabezado"/>
      <w:rPr>
        <w:noProof/>
      </w:rPr>
    </w:pPr>
  </w:p>
  <w:p w:rsidR="00743105" w:rsidRDefault="00743105" w:rsidP="00743105">
    <w:pPr>
      <w:pStyle w:val="Encabezado"/>
      <w:rPr>
        <w:noProof/>
      </w:rPr>
    </w:pPr>
  </w:p>
  <w:p w:rsidR="00743105" w:rsidRDefault="00743105" w:rsidP="00743105">
    <w:pPr>
      <w:pStyle w:val="Encabezado"/>
      <w:jc w:val="center"/>
    </w:pPr>
    <w:r>
      <w:rPr>
        <w:rFonts w:ascii="Monotype Corsiva" w:hAnsi="Monotype Corsiva"/>
        <w:b/>
        <w:sz w:val="44"/>
        <w:szCs w:val="44"/>
      </w:rPr>
      <w:t xml:space="preserve">Resolución Nº   </w:t>
    </w:r>
    <w:r>
      <w:rPr>
        <w:rFonts w:ascii="Tahoma" w:hAnsi="Tahoma" w:cs="Tahoma"/>
        <w:b/>
        <w:sz w:val="44"/>
        <w:szCs w:val="44"/>
      </w:rPr>
      <w:t>484-2011-TC-S1</w:t>
    </w:r>
  </w:p>
  <w:p w:rsidR="00743105" w:rsidRPr="00743105" w:rsidRDefault="00743105" w:rsidP="00743105">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56D82"/>
    <w:multiLevelType w:val="hybridMultilevel"/>
    <w:tmpl w:val="B22A7B0C"/>
    <w:lvl w:ilvl="0" w:tplc="D7A8BF70">
      <w:start w:val="1"/>
      <w:numFmt w:val="lowerRoman"/>
      <w:lvlText w:val="(%1)"/>
      <w:lvlJc w:val="left"/>
      <w:pPr>
        <w:ind w:left="360" w:hanging="360"/>
      </w:pPr>
      <w:rPr>
        <w:rFonts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
    <w:nsid w:val="03FA3E39"/>
    <w:multiLevelType w:val="hybridMultilevel"/>
    <w:tmpl w:val="34EE19A4"/>
    <w:lvl w:ilvl="0" w:tplc="0C880FB2">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48E5AC7"/>
    <w:multiLevelType w:val="hybridMultilevel"/>
    <w:tmpl w:val="AD7CEC18"/>
    <w:lvl w:ilvl="0" w:tplc="0E54F300">
      <w:start w:val="1"/>
      <w:numFmt w:val="decimal"/>
      <w:lvlText w:val="%1."/>
      <w:lvlJc w:val="left"/>
      <w:pPr>
        <w:tabs>
          <w:tab w:val="num" w:pos="720"/>
        </w:tabs>
        <w:ind w:left="720" w:hanging="360"/>
      </w:pPr>
      <w:rPr>
        <w:b/>
        <w:sz w:val="20"/>
        <w:szCs w:val="20"/>
      </w:rPr>
    </w:lvl>
    <w:lvl w:ilvl="1" w:tplc="0C0A0001">
      <w:start w:val="1"/>
      <w:numFmt w:val="bullet"/>
      <w:lvlText w:val=""/>
      <w:lvlJc w:val="left"/>
      <w:pPr>
        <w:tabs>
          <w:tab w:val="num" w:pos="1440"/>
        </w:tabs>
        <w:ind w:left="1440" w:hanging="360"/>
      </w:pPr>
      <w:rPr>
        <w:rFonts w:ascii="Symbol" w:hAnsi="Symbol" w:hint="default"/>
      </w:rPr>
    </w:lvl>
    <w:lvl w:ilvl="2" w:tplc="45403A08">
      <w:start w:val="1"/>
      <w:numFmt w:val="lowerRoman"/>
      <w:lvlText w:val="(%3)"/>
      <w:lvlJc w:val="left"/>
      <w:pPr>
        <w:tabs>
          <w:tab w:val="num" w:pos="2700"/>
        </w:tabs>
        <w:ind w:left="2700" w:hanging="720"/>
      </w:pPr>
      <w:rPr>
        <w:rFonts w:hint="default"/>
        <w:b w:val="0"/>
      </w:rPr>
    </w:lvl>
    <w:lvl w:ilvl="3" w:tplc="F3C0B5CE">
      <w:start w:val="1"/>
      <w:numFmt w:val="decimal"/>
      <w:lvlText w:val="%4."/>
      <w:lvlJc w:val="left"/>
      <w:pPr>
        <w:tabs>
          <w:tab w:val="num" w:pos="2880"/>
        </w:tabs>
        <w:ind w:left="2880" w:hanging="360"/>
      </w:pPr>
      <w:rPr>
        <w:b/>
      </w:rPr>
    </w:lvl>
    <w:lvl w:ilvl="4" w:tplc="498875FC">
      <w:start w:val="1"/>
      <w:numFmt w:val="lowerLetter"/>
      <w:lvlText w:val="%5."/>
      <w:lvlJc w:val="left"/>
      <w:pPr>
        <w:ind w:left="3930" w:hanging="690"/>
      </w:pPr>
      <w:rPr>
        <w:rFonts w:hint="default"/>
      </w:r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096E7451"/>
    <w:multiLevelType w:val="hybridMultilevel"/>
    <w:tmpl w:val="45E23DBA"/>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nsid w:val="0D89661A"/>
    <w:multiLevelType w:val="hybridMultilevel"/>
    <w:tmpl w:val="01CE751A"/>
    <w:lvl w:ilvl="0" w:tplc="D69A56F8">
      <w:start w:val="1"/>
      <w:numFmt w:val="decimal"/>
      <w:lvlText w:val="%1."/>
      <w:lvlJc w:val="left"/>
      <w:pPr>
        <w:tabs>
          <w:tab w:val="num" w:pos="596"/>
        </w:tabs>
        <w:ind w:left="596" w:hanging="454"/>
      </w:pPr>
      <w:rPr>
        <w:rFonts w:ascii="Tahoma" w:hAnsi="Tahoma" w:cs="Tahoma" w:hint="default"/>
        <w:b/>
        <w:i w:val="0"/>
        <w:shadow w:val="0"/>
        <w:emboss w:val="0"/>
        <w:imprint w:val="0"/>
        <w:color w:val="auto"/>
        <w:sz w:val="20"/>
        <w:szCs w:val="20"/>
        <w:u w:color="FFFFFF"/>
        <w:effect w:val="none"/>
        <w:lang w:val="es-ES"/>
      </w:rPr>
    </w:lvl>
    <w:lvl w:ilvl="1" w:tplc="70F2732C">
      <w:start w:val="1"/>
      <w:numFmt w:val="lowerLetter"/>
      <w:lvlText w:val="%2."/>
      <w:lvlJc w:val="left"/>
      <w:pPr>
        <w:tabs>
          <w:tab w:val="num" w:pos="1440"/>
        </w:tabs>
        <w:ind w:left="1440" w:hanging="360"/>
      </w:pPr>
      <w:rPr>
        <w:sz w:val="22"/>
        <w:szCs w:val="22"/>
      </w:rPr>
    </w:lvl>
    <w:lvl w:ilvl="2" w:tplc="B1187586">
      <w:start w:val="1"/>
      <w:numFmt w:val="lowerRoman"/>
      <w:lvlText w:val="(%3)"/>
      <w:lvlJc w:val="left"/>
      <w:pPr>
        <w:tabs>
          <w:tab w:val="num" w:pos="2700"/>
        </w:tabs>
        <w:ind w:left="2700" w:hanging="720"/>
      </w:pPr>
      <w:rPr>
        <w:rFonts w:hint="default"/>
        <w:b/>
        <w:sz w:val="22"/>
        <w:szCs w:val="22"/>
      </w:rPr>
    </w:lvl>
    <w:lvl w:ilvl="3" w:tplc="08F29F02">
      <w:start w:val="1"/>
      <w:numFmt w:val="lowerRoman"/>
      <w:lvlText w:val="%4)"/>
      <w:lvlJc w:val="left"/>
      <w:pPr>
        <w:tabs>
          <w:tab w:val="num" w:pos="3240"/>
        </w:tabs>
        <w:ind w:left="3240" w:hanging="720"/>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131D60A9"/>
    <w:multiLevelType w:val="hybridMultilevel"/>
    <w:tmpl w:val="1A801A96"/>
    <w:lvl w:ilvl="0" w:tplc="3BB04CAE">
      <w:start w:val="1"/>
      <w:numFmt w:val="decimal"/>
      <w:lvlText w:val="%1."/>
      <w:lvlJc w:val="left"/>
      <w:pPr>
        <w:tabs>
          <w:tab w:val="num" w:pos="720"/>
        </w:tabs>
        <w:ind w:left="720" w:hanging="360"/>
      </w:pPr>
      <w:rPr>
        <w:b/>
      </w:rPr>
    </w:lvl>
    <w:lvl w:ilvl="1" w:tplc="0C0A0019">
      <w:start w:val="1"/>
      <w:numFmt w:val="bullet"/>
      <w:lvlText w:val=""/>
      <w:lvlJc w:val="left"/>
      <w:pPr>
        <w:tabs>
          <w:tab w:val="num" w:pos="1440"/>
        </w:tabs>
        <w:ind w:left="1440" w:hanging="360"/>
      </w:pPr>
      <w:rPr>
        <w:rFonts w:ascii="Symbol" w:eastAsia="Times New Roman" w:hAnsi="Symbol" w:cs="Arial"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6">
    <w:nsid w:val="180361FF"/>
    <w:multiLevelType w:val="hybridMultilevel"/>
    <w:tmpl w:val="634A8E34"/>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7">
    <w:nsid w:val="2CCF2AFD"/>
    <w:multiLevelType w:val="hybridMultilevel"/>
    <w:tmpl w:val="ADB452B8"/>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8">
    <w:nsid w:val="2DFC5248"/>
    <w:multiLevelType w:val="hybridMultilevel"/>
    <w:tmpl w:val="921CE842"/>
    <w:lvl w:ilvl="0" w:tplc="F44A618E">
      <w:start w:val="1"/>
      <w:numFmt w:val="lowerRoman"/>
      <w:lvlText w:val="(%1)"/>
      <w:lvlJc w:val="lef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9">
    <w:nsid w:val="2E720AC6"/>
    <w:multiLevelType w:val="hybridMultilevel"/>
    <w:tmpl w:val="18446698"/>
    <w:lvl w:ilvl="0" w:tplc="2C762992">
      <w:start w:val="1"/>
      <w:numFmt w:val="decimal"/>
      <w:lvlText w:val="%1."/>
      <w:lvlJc w:val="left"/>
      <w:pPr>
        <w:tabs>
          <w:tab w:val="num" w:pos="8100"/>
        </w:tabs>
        <w:ind w:left="8100" w:hanging="360"/>
      </w:pPr>
      <w:rPr>
        <w:rFonts w:hint="default"/>
        <w:b/>
        <w:sz w:val="20"/>
        <w:szCs w:val="20"/>
      </w:rPr>
    </w:lvl>
    <w:lvl w:ilvl="1" w:tplc="0C0A0019" w:tentative="1">
      <w:start w:val="1"/>
      <w:numFmt w:val="lowerLetter"/>
      <w:lvlText w:val="%2."/>
      <w:lvlJc w:val="left"/>
      <w:pPr>
        <w:tabs>
          <w:tab w:val="num" w:pos="8820"/>
        </w:tabs>
        <w:ind w:left="8820" w:hanging="360"/>
      </w:pPr>
    </w:lvl>
    <w:lvl w:ilvl="2" w:tplc="0C0A001B" w:tentative="1">
      <w:start w:val="1"/>
      <w:numFmt w:val="lowerRoman"/>
      <w:lvlText w:val="%3."/>
      <w:lvlJc w:val="right"/>
      <w:pPr>
        <w:tabs>
          <w:tab w:val="num" w:pos="9540"/>
        </w:tabs>
        <w:ind w:left="9540" w:hanging="180"/>
      </w:pPr>
    </w:lvl>
    <w:lvl w:ilvl="3" w:tplc="0C0A000F" w:tentative="1">
      <w:start w:val="1"/>
      <w:numFmt w:val="decimal"/>
      <w:lvlText w:val="%4."/>
      <w:lvlJc w:val="left"/>
      <w:pPr>
        <w:tabs>
          <w:tab w:val="num" w:pos="10260"/>
        </w:tabs>
        <w:ind w:left="10260" w:hanging="360"/>
      </w:pPr>
    </w:lvl>
    <w:lvl w:ilvl="4" w:tplc="0C0A0019" w:tentative="1">
      <w:start w:val="1"/>
      <w:numFmt w:val="lowerLetter"/>
      <w:lvlText w:val="%5."/>
      <w:lvlJc w:val="left"/>
      <w:pPr>
        <w:tabs>
          <w:tab w:val="num" w:pos="10980"/>
        </w:tabs>
        <w:ind w:left="10980" w:hanging="360"/>
      </w:pPr>
    </w:lvl>
    <w:lvl w:ilvl="5" w:tplc="0C0A001B" w:tentative="1">
      <w:start w:val="1"/>
      <w:numFmt w:val="lowerRoman"/>
      <w:lvlText w:val="%6."/>
      <w:lvlJc w:val="right"/>
      <w:pPr>
        <w:tabs>
          <w:tab w:val="num" w:pos="11700"/>
        </w:tabs>
        <w:ind w:left="11700" w:hanging="180"/>
      </w:pPr>
    </w:lvl>
    <w:lvl w:ilvl="6" w:tplc="0C0A000F" w:tentative="1">
      <w:start w:val="1"/>
      <w:numFmt w:val="decimal"/>
      <w:lvlText w:val="%7."/>
      <w:lvlJc w:val="left"/>
      <w:pPr>
        <w:tabs>
          <w:tab w:val="num" w:pos="12420"/>
        </w:tabs>
        <w:ind w:left="12420" w:hanging="360"/>
      </w:pPr>
    </w:lvl>
    <w:lvl w:ilvl="7" w:tplc="0C0A0019" w:tentative="1">
      <w:start w:val="1"/>
      <w:numFmt w:val="lowerLetter"/>
      <w:lvlText w:val="%8."/>
      <w:lvlJc w:val="left"/>
      <w:pPr>
        <w:tabs>
          <w:tab w:val="num" w:pos="13140"/>
        </w:tabs>
        <w:ind w:left="13140" w:hanging="360"/>
      </w:pPr>
    </w:lvl>
    <w:lvl w:ilvl="8" w:tplc="0C0A001B" w:tentative="1">
      <w:start w:val="1"/>
      <w:numFmt w:val="lowerRoman"/>
      <w:lvlText w:val="%9."/>
      <w:lvlJc w:val="right"/>
      <w:pPr>
        <w:tabs>
          <w:tab w:val="num" w:pos="13860"/>
        </w:tabs>
        <w:ind w:left="13860" w:hanging="180"/>
      </w:pPr>
    </w:lvl>
  </w:abstractNum>
  <w:abstractNum w:abstractNumId="10">
    <w:nsid w:val="3468407A"/>
    <w:multiLevelType w:val="hybridMultilevel"/>
    <w:tmpl w:val="314ED194"/>
    <w:lvl w:ilvl="0" w:tplc="C1AC6AEC">
      <w:start w:val="1"/>
      <w:numFmt w:val="lowerRoman"/>
      <w:lvlText w:val="%1."/>
      <w:lvlJc w:val="right"/>
      <w:pPr>
        <w:ind w:left="1287" w:hanging="360"/>
      </w:pPr>
      <w:rPr>
        <w:b/>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1">
    <w:nsid w:val="3E7D0E0B"/>
    <w:multiLevelType w:val="hybridMultilevel"/>
    <w:tmpl w:val="DBB42198"/>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nsid w:val="408F6B27"/>
    <w:multiLevelType w:val="hybridMultilevel"/>
    <w:tmpl w:val="4684A2BA"/>
    <w:lvl w:ilvl="0" w:tplc="F5C055C0">
      <w:start w:val="1"/>
      <w:numFmt w:val="decimal"/>
      <w:lvlText w:val="%1."/>
      <w:lvlJc w:val="left"/>
      <w:pPr>
        <w:tabs>
          <w:tab w:val="num" w:pos="480"/>
        </w:tabs>
        <w:ind w:left="480" w:hanging="360"/>
      </w:pPr>
      <w:rPr>
        <w:rFonts w:hint="default"/>
        <w:b w:val="0"/>
      </w:rPr>
    </w:lvl>
    <w:lvl w:ilvl="1" w:tplc="0C0A0019" w:tentative="1">
      <w:start w:val="1"/>
      <w:numFmt w:val="lowerLetter"/>
      <w:lvlText w:val="%2."/>
      <w:lvlJc w:val="left"/>
      <w:pPr>
        <w:tabs>
          <w:tab w:val="num" w:pos="1200"/>
        </w:tabs>
        <w:ind w:left="1200" w:hanging="360"/>
      </w:pPr>
    </w:lvl>
    <w:lvl w:ilvl="2" w:tplc="709221C6" w:tentative="1">
      <w:start w:val="1"/>
      <w:numFmt w:val="lowerRoman"/>
      <w:lvlText w:val="%3."/>
      <w:lvlJc w:val="right"/>
      <w:pPr>
        <w:tabs>
          <w:tab w:val="num" w:pos="1920"/>
        </w:tabs>
        <w:ind w:left="1920" w:hanging="180"/>
      </w:pPr>
    </w:lvl>
    <w:lvl w:ilvl="3" w:tplc="0C0A000F" w:tentative="1">
      <w:start w:val="1"/>
      <w:numFmt w:val="decimal"/>
      <w:lvlText w:val="%4."/>
      <w:lvlJc w:val="left"/>
      <w:pPr>
        <w:tabs>
          <w:tab w:val="num" w:pos="2640"/>
        </w:tabs>
        <w:ind w:left="2640" w:hanging="360"/>
      </w:pPr>
    </w:lvl>
    <w:lvl w:ilvl="4" w:tplc="0C0A0019" w:tentative="1">
      <w:start w:val="1"/>
      <w:numFmt w:val="lowerLetter"/>
      <w:lvlText w:val="%5."/>
      <w:lvlJc w:val="left"/>
      <w:pPr>
        <w:tabs>
          <w:tab w:val="num" w:pos="3360"/>
        </w:tabs>
        <w:ind w:left="3360" w:hanging="360"/>
      </w:pPr>
    </w:lvl>
    <w:lvl w:ilvl="5" w:tplc="0C0A001B" w:tentative="1">
      <w:start w:val="1"/>
      <w:numFmt w:val="lowerRoman"/>
      <w:lvlText w:val="%6."/>
      <w:lvlJc w:val="right"/>
      <w:pPr>
        <w:tabs>
          <w:tab w:val="num" w:pos="4080"/>
        </w:tabs>
        <w:ind w:left="4080" w:hanging="180"/>
      </w:pPr>
    </w:lvl>
    <w:lvl w:ilvl="6" w:tplc="0C0A000F" w:tentative="1">
      <w:start w:val="1"/>
      <w:numFmt w:val="decimal"/>
      <w:lvlText w:val="%7."/>
      <w:lvlJc w:val="left"/>
      <w:pPr>
        <w:tabs>
          <w:tab w:val="num" w:pos="4800"/>
        </w:tabs>
        <w:ind w:left="4800" w:hanging="360"/>
      </w:pPr>
    </w:lvl>
    <w:lvl w:ilvl="7" w:tplc="0C0A0019" w:tentative="1">
      <w:start w:val="1"/>
      <w:numFmt w:val="lowerLetter"/>
      <w:lvlText w:val="%8."/>
      <w:lvlJc w:val="left"/>
      <w:pPr>
        <w:tabs>
          <w:tab w:val="num" w:pos="5520"/>
        </w:tabs>
        <w:ind w:left="5520" w:hanging="360"/>
      </w:pPr>
    </w:lvl>
    <w:lvl w:ilvl="8" w:tplc="0C0A001B" w:tentative="1">
      <w:start w:val="1"/>
      <w:numFmt w:val="lowerRoman"/>
      <w:lvlText w:val="%9."/>
      <w:lvlJc w:val="right"/>
      <w:pPr>
        <w:tabs>
          <w:tab w:val="num" w:pos="6240"/>
        </w:tabs>
        <w:ind w:left="6240" w:hanging="180"/>
      </w:pPr>
    </w:lvl>
  </w:abstractNum>
  <w:abstractNum w:abstractNumId="13">
    <w:nsid w:val="420F6C4B"/>
    <w:multiLevelType w:val="hybridMultilevel"/>
    <w:tmpl w:val="B4328FEE"/>
    <w:lvl w:ilvl="0" w:tplc="A5705B54">
      <w:start w:val="1"/>
      <w:numFmt w:val="lowerRoman"/>
      <w:lvlText w:val="(%1)"/>
      <w:lvlJc w:val="left"/>
      <w:pPr>
        <w:ind w:left="1287" w:hanging="360"/>
      </w:pPr>
      <w:rPr>
        <w:rFonts w:hint="default"/>
        <w:b/>
        <w:i w:val="0"/>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4">
    <w:nsid w:val="44193628"/>
    <w:multiLevelType w:val="hybridMultilevel"/>
    <w:tmpl w:val="94B681A2"/>
    <w:lvl w:ilvl="0" w:tplc="0C0A001B">
      <w:start w:val="1"/>
      <w:numFmt w:val="lowerRoman"/>
      <w:lvlText w:val="%1."/>
      <w:lvlJc w:val="right"/>
      <w:pPr>
        <w:ind w:left="720" w:hanging="360"/>
      </w:pPr>
      <w:rPr>
        <w:b/>
      </w:rPr>
    </w:lvl>
    <w:lvl w:ilvl="1" w:tplc="BB567E5A">
      <w:start w:val="1"/>
      <w:numFmt w:val="decimal"/>
      <w:lvlText w:val="%2."/>
      <w:lvlJc w:val="left"/>
      <w:pPr>
        <w:ind w:left="1455" w:hanging="375"/>
      </w:pPr>
      <w:rPr>
        <w:rFonts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452C5B89"/>
    <w:multiLevelType w:val="hybridMultilevel"/>
    <w:tmpl w:val="3940A9BE"/>
    <w:lvl w:ilvl="0" w:tplc="5246B6C8">
      <w:start w:val="1"/>
      <w:numFmt w:val="lowerRoman"/>
      <w:lvlText w:val="%1."/>
      <w:lvlJc w:val="right"/>
      <w:pPr>
        <w:ind w:left="1440" w:hanging="360"/>
      </w:pPr>
      <w:rPr>
        <w:b/>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6">
    <w:nsid w:val="54D656E9"/>
    <w:multiLevelType w:val="hybridMultilevel"/>
    <w:tmpl w:val="DA708F52"/>
    <w:lvl w:ilvl="0" w:tplc="A5705B54">
      <w:start w:val="1"/>
      <w:numFmt w:val="lowerRoman"/>
      <w:lvlText w:val="(%1)"/>
      <w:lvlJc w:val="left"/>
      <w:pPr>
        <w:tabs>
          <w:tab w:val="num" w:pos="360"/>
        </w:tabs>
        <w:ind w:left="360" w:hanging="360"/>
      </w:pPr>
      <w:rPr>
        <w:rFonts w:hint="default"/>
        <w:b/>
      </w:rPr>
    </w:lvl>
    <w:lvl w:ilvl="1" w:tplc="AB5692E8">
      <w:start w:val="1"/>
      <w:numFmt w:val="low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nsid w:val="55706F67"/>
    <w:multiLevelType w:val="hybridMultilevel"/>
    <w:tmpl w:val="50228332"/>
    <w:lvl w:ilvl="0" w:tplc="AFA4D940">
      <w:start w:val="1"/>
      <w:numFmt w:val="decimal"/>
      <w:lvlText w:val="%1."/>
      <w:lvlJc w:val="left"/>
      <w:pPr>
        <w:tabs>
          <w:tab w:val="num" w:pos="720"/>
        </w:tabs>
        <w:ind w:left="720" w:hanging="360"/>
      </w:pPr>
      <w:rPr>
        <w:sz w:val="12"/>
        <w:szCs w:val="12"/>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8">
    <w:nsid w:val="55D10505"/>
    <w:multiLevelType w:val="hybridMultilevel"/>
    <w:tmpl w:val="E0024B12"/>
    <w:lvl w:ilvl="0" w:tplc="5ACCB444">
      <w:start w:val="1"/>
      <w:numFmt w:val="lowerRoman"/>
      <w:lvlText w:val="%1."/>
      <w:lvlJc w:val="right"/>
      <w:pPr>
        <w:ind w:left="1854" w:hanging="360"/>
      </w:pPr>
      <w:rPr>
        <w:b/>
      </w:rPr>
    </w:lvl>
    <w:lvl w:ilvl="1" w:tplc="0C0A0019" w:tentative="1">
      <w:start w:val="1"/>
      <w:numFmt w:val="lowerLetter"/>
      <w:lvlText w:val="%2."/>
      <w:lvlJc w:val="left"/>
      <w:pPr>
        <w:ind w:left="2574" w:hanging="360"/>
      </w:pPr>
    </w:lvl>
    <w:lvl w:ilvl="2" w:tplc="0C0A001B" w:tentative="1">
      <w:start w:val="1"/>
      <w:numFmt w:val="lowerRoman"/>
      <w:lvlText w:val="%3."/>
      <w:lvlJc w:val="right"/>
      <w:pPr>
        <w:ind w:left="3294" w:hanging="180"/>
      </w:pPr>
    </w:lvl>
    <w:lvl w:ilvl="3" w:tplc="0C0A000F" w:tentative="1">
      <w:start w:val="1"/>
      <w:numFmt w:val="decimal"/>
      <w:lvlText w:val="%4."/>
      <w:lvlJc w:val="left"/>
      <w:pPr>
        <w:ind w:left="4014" w:hanging="360"/>
      </w:pPr>
    </w:lvl>
    <w:lvl w:ilvl="4" w:tplc="0C0A0019" w:tentative="1">
      <w:start w:val="1"/>
      <w:numFmt w:val="lowerLetter"/>
      <w:lvlText w:val="%5."/>
      <w:lvlJc w:val="left"/>
      <w:pPr>
        <w:ind w:left="4734" w:hanging="360"/>
      </w:pPr>
    </w:lvl>
    <w:lvl w:ilvl="5" w:tplc="0C0A001B" w:tentative="1">
      <w:start w:val="1"/>
      <w:numFmt w:val="lowerRoman"/>
      <w:lvlText w:val="%6."/>
      <w:lvlJc w:val="right"/>
      <w:pPr>
        <w:ind w:left="5454" w:hanging="180"/>
      </w:pPr>
    </w:lvl>
    <w:lvl w:ilvl="6" w:tplc="0C0A000F" w:tentative="1">
      <w:start w:val="1"/>
      <w:numFmt w:val="decimal"/>
      <w:lvlText w:val="%7."/>
      <w:lvlJc w:val="left"/>
      <w:pPr>
        <w:ind w:left="6174" w:hanging="360"/>
      </w:pPr>
    </w:lvl>
    <w:lvl w:ilvl="7" w:tplc="0C0A0019" w:tentative="1">
      <w:start w:val="1"/>
      <w:numFmt w:val="lowerLetter"/>
      <w:lvlText w:val="%8."/>
      <w:lvlJc w:val="left"/>
      <w:pPr>
        <w:ind w:left="6894" w:hanging="360"/>
      </w:pPr>
    </w:lvl>
    <w:lvl w:ilvl="8" w:tplc="0C0A001B" w:tentative="1">
      <w:start w:val="1"/>
      <w:numFmt w:val="lowerRoman"/>
      <w:lvlText w:val="%9."/>
      <w:lvlJc w:val="right"/>
      <w:pPr>
        <w:ind w:left="7614" w:hanging="180"/>
      </w:pPr>
    </w:lvl>
  </w:abstractNum>
  <w:abstractNum w:abstractNumId="19">
    <w:nsid w:val="56473656"/>
    <w:multiLevelType w:val="hybridMultilevel"/>
    <w:tmpl w:val="B072B59A"/>
    <w:lvl w:ilvl="0" w:tplc="56684FFC">
      <w:start w:val="1"/>
      <w:numFmt w:val="decimal"/>
      <w:lvlText w:val="%1."/>
      <w:lvlJc w:val="left"/>
      <w:pPr>
        <w:ind w:left="720" w:hanging="360"/>
      </w:pPr>
      <w:rPr>
        <w:b/>
        <w:sz w:val="21"/>
        <w:szCs w:val="2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5E193018"/>
    <w:multiLevelType w:val="hybridMultilevel"/>
    <w:tmpl w:val="CC50CAA0"/>
    <w:lvl w:ilvl="0" w:tplc="1AF815EA">
      <w:start w:val="1"/>
      <w:numFmt w:val="lowerRoman"/>
      <w:lvlText w:val="%1."/>
      <w:lvlJc w:val="right"/>
      <w:pPr>
        <w:ind w:left="1080" w:hanging="360"/>
      </w:pPr>
      <w:rPr>
        <w:rFonts w:hint="default"/>
        <w:b/>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1">
    <w:nsid w:val="61356E09"/>
    <w:multiLevelType w:val="hybridMultilevel"/>
    <w:tmpl w:val="A4108FE4"/>
    <w:lvl w:ilvl="0" w:tplc="81064F46">
      <w:start w:val="1"/>
      <w:numFmt w:val="lowerRoman"/>
      <w:lvlText w:val="%1."/>
      <w:lvlJc w:val="right"/>
      <w:pPr>
        <w:ind w:left="1287" w:hanging="360"/>
      </w:pPr>
      <w:rPr>
        <w:b/>
        <w:i w:val="0"/>
        <w:sz w:val="25"/>
        <w:szCs w:val="25"/>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2">
    <w:nsid w:val="6EA50FF8"/>
    <w:multiLevelType w:val="hybridMultilevel"/>
    <w:tmpl w:val="942E561C"/>
    <w:lvl w:ilvl="0" w:tplc="F1AC1BBE">
      <w:start w:val="1"/>
      <w:numFmt w:val="decimal"/>
      <w:lvlText w:val="%1."/>
      <w:lvlJc w:val="right"/>
      <w:pPr>
        <w:ind w:left="360" w:hanging="360"/>
      </w:pPr>
      <w:rPr>
        <w:rFonts w:ascii="Tahoma" w:hAnsi="Tahoma"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3">
    <w:nsid w:val="742A4401"/>
    <w:multiLevelType w:val="hybridMultilevel"/>
    <w:tmpl w:val="E33E7602"/>
    <w:lvl w:ilvl="0" w:tplc="BFBE62CE">
      <w:start w:val="1"/>
      <w:numFmt w:val="decimal"/>
      <w:lvlText w:val="%1."/>
      <w:lvlJc w:val="left"/>
      <w:pPr>
        <w:ind w:left="1287" w:hanging="360"/>
      </w:pPr>
      <w:rPr>
        <w:rFonts w:ascii="Tahoma" w:hAnsi="Tahoma" w:cs="Tahoma" w:hint="default"/>
        <w:b/>
        <w:sz w:val="20"/>
        <w:szCs w:val="20"/>
      </w:rPr>
    </w:lvl>
    <w:lvl w:ilvl="1" w:tplc="D83632D6">
      <w:start w:val="1"/>
      <w:numFmt w:val="lowerLetter"/>
      <w:lvlText w:val="%2)"/>
      <w:lvlJc w:val="left"/>
      <w:pPr>
        <w:tabs>
          <w:tab w:val="num" w:pos="2007"/>
        </w:tabs>
        <w:ind w:left="2007" w:hanging="360"/>
      </w:pPr>
      <w:rPr>
        <w:rFonts w:hint="default"/>
        <w:lang w:val="es-ES"/>
      </w:r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4">
    <w:nsid w:val="7CBF7177"/>
    <w:multiLevelType w:val="hybridMultilevel"/>
    <w:tmpl w:val="882A3CEC"/>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5">
    <w:nsid w:val="7EC759A6"/>
    <w:multiLevelType w:val="hybridMultilevel"/>
    <w:tmpl w:val="921CD5C4"/>
    <w:lvl w:ilvl="0" w:tplc="366C1FBA">
      <w:start w:val="1"/>
      <w:numFmt w:val="decimal"/>
      <w:lvlText w:val="%1."/>
      <w:lvlJc w:val="left"/>
      <w:pPr>
        <w:tabs>
          <w:tab w:val="num" w:pos="360"/>
        </w:tabs>
        <w:ind w:left="360" w:hanging="360"/>
      </w:pPr>
      <w:rPr>
        <w:rFonts w:hint="default"/>
        <w:b/>
        <w:sz w:val="20"/>
        <w:szCs w:val="20"/>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num w:numId="1">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1"/>
  </w:num>
  <w:num w:numId="4">
    <w:abstractNumId w:val="1"/>
  </w:num>
  <w:num w:numId="5">
    <w:abstractNumId w:val="25"/>
  </w:num>
  <w:num w:numId="6">
    <w:abstractNumId w:val="21"/>
  </w:num>
  <w:num w:numId="7">
    <w:abstractNumId w:val="19"/>
  </w:num>
  <w:num w:numId="8">
    <w:abstractNumId w:val="24"/>
  </w:num>
  <w:num w:numId="9">
    <w:abstractNumId w:val="17"/>
  </w:num>
  <w:num w:numId="10">
    <w:abstractNumId w:val="14"/>
  </w:num>
  <w:num w:numId="11">
    <w:abstractNumId w:val="4"/>
  </w:num>
  <w:num w:numId="12">
    <w:abstractNumId w:val="10"/>
  </w:num>
  <w:num w:numId="13">
    <w:abstractNumId w:val="2"/>
  </w:num>
  <w:num w:numId="14">
    <w:abstractNumId w:val="12"/>
  </w:num>
  <w:num w:numId="15">
    <w:abstractNumId w:val="18"/>
  </w:num>
  <w:num w:numId="16">
    <w:abstractNumId w:val="9"/>
  </w:num>
  <w:num w:numId="17">
    <w:abstractNumId w:val="20"/>
  </w:num>
  <w:num w:numId="18">
    <w:abstractNumId w:val="8"/>
  </w:num>
  <w:num w:numId="19">
    <w:abstractNumId w:val="22"/>
  </w:num>
  <w:num w:numId="20">
    <w:abstractNumId w:val="13"/>
  </w:num>
  <w:num w:numId="21">
    <w:abstractNumId w:val="6"/>
  </w:num>
  <w:num w:numId="22">
    <w:abstractNumId w:val="15"/>
  </w:num>
  <w:num w:numId="23">
    <w:abstractNumId w:val="7"/>
  </w:num>
  <w:num w:numId="24">
    <w:abstractNumId w:val="3"/>
  </w:num>
  <w:num w:numId="25">
    <w:abstractNumId w:val="0"/>
  </w:num>
  <w:num w:numId="26">
    <w:abstractNumId w:val="23"/>
  </w:num>
  <w:num w:numId="2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8434"/>
  </w:hdrShapeDefaults>
  <w:footnotePr>
    <w:footnote w:id="0"/>
    <w:footnote w:id="1"/>
  </w:footnotePr>
  <w:endnotePr>
    <w:endnote w:id="0"/>
    <w:endnote w:id="1"/>
  </w:endnotePr>
  <w:compat/>
  <w:rsids>
    <w:rsidRoot w:val="00E13E6B"/>
    <w:rsid w:val="00000BF4"/>
    <w:rsid w:val="00016207"/>
    <w:rsid w:val="00027FB1"/>
    <w:rsid w:val="00041FBA"/>
    <w:rsid w:val="0005582F"/>
    <w:rsid w:val="00082DF1"/>
    <w:rsid w:val="000B0A8A"/>
    <w:rsid w:val="000B0CEB"/>
    <w:rsid w:val="000B6C24"/>
    <w:rsid w:val="000E3E0B"/>
    <w:rsid w:val="001016D9"/>
    <w:rsid w:val="001337F7"/>
    <w:rsid w:val="00140241"/>
    <w:rsid w:val="00140DE4"/>
    <w:rsid w:val="00164CC7"/>
    <w:rsid w:val="001776B6"/>
    <w:rsid w:val="00187209"/>
    <w:rsid w:val="00187E2A"/>
    <w:rsid w:val="001C5BD6"/>
    <w:rsid w:val="001E448B"/>
    <w:rsid w:val="001E71F0"/>
    <w:rsid w:val="001F5C44"/>
    <w:rsid w:val="00214D5E"/>
    <w:rsid w:val="00222218"/>
    <w:rsid w:val="0022267E"/>
    <w:rsid w:val="00231184"/>
    <w:rsid w:val="0023169C"/>
    <w:rsid w:val="00254249"/>
    <w:rsid w:val="002837D2"/>
    <w:rsid w:val="00295C50"/>
    <w:rsid w:val="00331E1A"/>
    <w:rsid w:val="003430DE"/>
    <w:rsid w:val="00351F6F"/>
    <w:rsid w:val="00360AFE"/>
    <w:rsid w:val="003B4F9C"/>
    <w:rsid w:val="004255A5"/>
    <w:rsid w:val="00440D71"/>
    <w:rsid w:val="00442AC8"/>
    <w:rsid w:val="004515EA"/>
    <w:rsid w:val="00455F96"/>
    <w:rsid w:val="00466DC8"/>
    <w:rsid w:val="004C487F"/>
    <w:rsid w:val="004C5043"/>
    <w:rsid w:val="004F2CC5"/>
    <w:rsid w:val="00531D1E"/>
    <w:rsid w:val="005521E5"/>
    <w:rsid w:val="00567032"/>
    <w:rsid w:val="005B0EEA"/>
    <w:rsid w:val="005B1E24"/>
    <w:rsid w:val="005E3E1C"/>
    <w:rsid w:val="005F3C91"/>
    <w:rsid w:val="00635F2E"/>
    <w:rsid w:val="00642EE3"/>
    <w:rsid w:val="0065269D"/>
    <w:rsid w:val="006550D3"/>
    <w:rsid w:val="006B6377"/>
    <w:rsid w:val="006C0A94"/>
    <w:rsid w:val="006C2E41"/>
    <w:rsid w:val="006C5B6A"/>
    <w:rsid w:val="006D2E88"/>
    <w:rsid w:val="006E4E4E"/>
    <w:rsid w:val="006E5571"/>
    <w:rsid w:val="006E5BF8"/>
    <w:rsid w:val="006F0656"/>
    <w:rsid w:val="006F3B1E"/>
    <w:rsid w:val="0070587A"/>
    <w:rsid w:val="00743105"/>
    <w:rsid w:val="0074555F"/>
    <w:rsid w:val="007570AE"/>
    <w:rsid w:val="00763CC8"/>
    <w:rsid w:val="00766749"/>
    <w:rsid w:val="007728C3"/>
    <w:rsid w:val="007D7E70"/>
    <w:rsid w:val="007E4F29"/>
    <w:rsid w:val="008011A4"/>
    <w:rsid w:val="00822C2F"/>
    <w:rsid w:val="00835165"/>
    <w:rsid w:val="008734E8"/>
    <w:rsid w:val="00903A92"/>
    <w:rsid w:val="009066F9"/>
    <w:rsid w:val="00920048"/>
    <w:rsid w:val="0092385F"/>
    <w:rsid w:val="0092699F"/>
    <w:rsid w:val="00982D52"/>
    <w:rsid w:val="00992FEE"/>
    <w:rsid w:val="00993C05"/>
    <w:rsid w:val="009C2CF7"/>
    <w:rsid w:val="009E1F2A"/>
    <w:rsid w:val="00A26B58"/>
    <w:rsid w:val="00A52C81"/>
    <w:rsid w:val="00A9776E"/>
    <w:rsid w:val="00AA6BAC"/>
    <w:rsid w:val="00AA7525"/>
    <w:rsid w:val="00AB0F61"/>
    <w:rsid w:val="00AD4AB5"/>
    <w:rsid w:val="00B05429"/>
    <w:rsid w:val="00B06760"/>
    <w:rsid w:val="00B1735A"/>
    <w:rsid w:val="00B25FCD"/>
    <w:rsid w:val="00B31BA1"/>
    <w:rsid w:val="00B71CFC"/>
    <w:rsid w:val="00BE51B2"/>
    <w:rsid w:val="00BE67EB"/>
    <w:rsid w:val="00C15ECB"/>
    <w:rsid w:val="00C5251B"/>
    <w:rsid w:val="00C8148D"/>
    <w:rsid w:val="00CC3859"/>
    <w:rsid w:val="00CC52A3"/>
    <w:rsid w:val="00D002B4"/>
    <w:rsid w:val="00D069FF"/>
    <w:rsid w:val="00D115F8"/>
    <w:rsid w:val="00D13BC9"/>
    <w:rsid w:val="00D445DC"/>
    <w:rsid w:val="00DA127C"/>
    <w:rsid w:val="00DA2C25"/>
    <w:rsid w:val="00DC3001"/>
    <w:rsid w:val="00DD589B"/>
    <w:rsid w:val="00E124B8"/>
    <w:rsid w:val="00E13E6B"/>
    <w:rsid w:val="00E1470E"/>
    <w:rsid w:val="00E633EF"/>
    <w:rsid w:val="00E77676"/>
    <w:rsid w:val="00E964AA"/>
    <w:rsid w:val="00EC4953"/>
    <w:rsid w:val="00EE4815"/>
    <w:rsid w:val="00EE7A6B"/>
    <w:rsid w:val="00F3647A"/>
    <w:rsid w:val="00F4438A"/>
    <w:rsid w:val="00F50510"/>
    <w:rsid w:val="00F66D53"/>
    <w:rsid w:val="00F77525"/>
    <w:rsid w:val="00FE6FD2"/>
    <w:rsid w:val="00FF6B1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3E6B"/>
    <w:pPr>
      <w:spacing w:after="0" w:line="240" w:lineRule="auto"/>
    </w:pPr>
    <w:rPr>
      <w:rFonts w:ascii="Times New Roman" w:eastAsia="Calibri" w:hAnsi="Times New Roman" w:cs="Times New Roman"/>
      <w:sz w:val="24"/>
      <w:szCs w:val="24"/>
      <w:lang w:eastAsia="es-ES"/>
    </w:rPr>
  </w:style>
  <w:style w:type="paragraph" w:styleId="Ttulo1">
    <w:name w:val="heading 1"/>
    <w:basedOn w:val="Normal"/>
    <w:next w:val="Normal"/>
    <w:link w:val="Ttulo1Car"/>
    <w:uiPriority w:val="9"/>
    <w:qFormat/>
    <w:rsid w:val="00EC495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EC495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E13E6B"/>
    <w:pPr>
      <w:tabs>
        <w:tab w:val="center" w:pos="4252"/>
        <w:tab w:val="right" w:pos="8504"/>
      </w:tabs>
    </w:pPr>
  </w:style>
  <w:style w:type="character" w:customStyle="1" w:styleId="PiedepginaCar">
    <w:name w:val="Pie de página Car"/>
    <w:basedOn w:val="Fuentedeprrafopredeter"/>
    <w:link w:val="Piedepgina"/>
    <w:rsid w:val="00E13E6B"/>
    <w:rPr>
      <w:rFonts w:ascii="Times New Roman" w:eastAsia="Calibri" w:hAnsi="Times New Roman" w:cs="Times New Roman"/>
      <w:sz w:val="24"/>
      <w:szCs w:val="24"/>
      <w:lang w:eastAsia="es-ES"/>
    </w:rPr>
  </w:style>
  <w:style w:type="paragraph" w:customStyle="1" w:styleId="Textoindependiente21">
    <w:name w:val="Texto independiente 21"/>
    <w:basedOn w:val="Normal"/>
    <w:rsid w:val="00E13E6B"/>
    <w:pPr>
      <w:jc w:val="both"/>
    </w:pPr>
    <w:rPr>
      <w:rFonts w:ascii="Tahoma" w:hAnsi="Tahoma"/>
      <w:sz w:val="22"/>
      <w:szCs w:val="20"/>
    </w:rPr>
  </w:style>
  <w:style w:type="paragraph" w:styleId="Textoindependiente3">
    <w:name w:val="Body Text 3"/>
    <w:basedOn w:val="Normal"/>
    <w:link w:val="Textoindependiente3Car"/>
    <w:rsid w:val="00E13E6B"/>
    <w:pPr>
      <w:jc w:val="center"/>
    </w:pPr>
    <w:rPr>
      <w:rFonts w:ascii="Arial" w:eastAsia="Batang" w:hAnsi="Arial"/>
      <w:b/>
      <w:sz w:val="20"/>
      <w:szCs w:val="20"/>
      <w:lang w:val="es-PE"/>
    </w:rPr>
  </w:style>
  <w:style w:type="character" w:customStyle="1" w:styleId="Textoindependiente3Car">
    <w:name w:val="Texto independiente 3 Car"/>
    <w:basedOn w:val="Fuentedeprrafopredeter"/>
    <w:link w:val="Textoindependiente3"/>
    <w:rsid w:val="00E13E6B"/>
    <w:rPr>
      <w:rFonts w:ascii="Arial" w:eastAsia="Batang" w:hAnsi="Arial" w:cs="Times New Roman"/>
      <w:b/>
      <w:sz w:val="20"/>
      <w:szCs w:val="20"/>
      <w:lang w:val="es-PE" w:eastAsia="es-ES"/>
    </w:rPr>
  </w:style>
  <w:style w:type="paragraph" w:styleId="Textoindependiente">
    <w:name w:val="Body Text"/>
    <w:basedOn w:val="Normal"/>
    <w:link w:val="TextoindependienteCar"/>
    <w:rsid w:val="00E13E6B"/>
    <w:pPr>
      <w:spacing w:after="120"/>
    </w:pPr>
  </w:style>
  <w:style w:type="character" w:customStyle="1" w:styleId="TextoindependienteCar">
    <w:name w:val="Texto independiente Car"/>
    <w:basedOn w:val="Fuentedeprrafopredeter"/>
    <w:link w:val="Textoindependiente"/>
    <w:rsid w:val="00E13E6B"/>
    <w:rPr>
      <w:rFonts w:ascii="Times New Roman" w:eastAsia="Calibri" w:hAnsi="Times New Roman" w:cs="Times New Roman"/>
      <w:sz w:val="24"/>
      <w:szCs w:val="24"/>
      <w:lang w:eastAsia="es-ES"/>
    </w:rPr>
  </w:style>
  <w:style w:type="paragraph" w:styleId="Textonotapie">
    <w:name w:val="footnote text"/>
    <w:aliases w:val="Car, Car,Car Car Car, Car4,Texto nota pie1,Body Text,Car4, Car2 Car Car Car Car Car, Car2 Car, Car2, Car1 Car,Car1 Car, Car2 Car1 Car,Car2 Car Car Car Car Car,Car2 Car Car,Car2 Car Car Car Car Car Car, Car1, Car Car Car"/>
    <w:basedOn w:val="Normal"/>
    <w:link w:val="TextonotapieCar"/>
    <w:rsid w:val="00E13E6B"/>
    <w:rPr>
      <w:sz w:val="20"/>
      <w:szCs w:val="20"/>
    </w:rPr>
  </w:style>
  <w:style w:type="character" w:customStyle="1" w:styleId="TextonotapieCar">
    <w:name w:val="Texto nota pie Car"/>
    <w:aliases w:val="Car Car, Car Car,Car Car Car Car, Car4 Car,Texto nota pie1 Car,Body Text Car,Car4 Car, Car2 Car Car Car Car Car Car, Car2 Car Car, Car2 Car1, Car1 Car Car,Car1 Car Car, Car2 Car1 Car Car,Car2 Car Car Car Car Car Car1,Car2 Car Car Car"/>
    <w:basedOn w:val="Fuentedeprrafopredeter"/>
    <w:link w:val="Textonotapie"/>
    <w:rsid w:val="00E13E6B"/>
    <w:rPr>
      <w:rFonts w:ascii="Times New Roman" w:eastAsia="Calibri" w:hAnsi="Times New Roman" w:cs="Times New Roman"/>
      <w:sz w:val="20"/>
      <w:szCs w:val="20"/>
      <w:lang w:eastAsia="es-ES"/>
    </w:rPr>
  </w:style>
  <w:style w:type="character" w:styleId="Refdenotaalpie">
    <w:name w:val="footnote reference"/>
    <w:basedOn w:val="Fuentedeprrafopredeter"/>
    <w:rsid w:val="00E13E6B"/>
    <w:rPr>
      <w:rFonts w:cs="Times New Roman"/>
      <w:vertAlign w:val="superscript"/>
    </w:rPr>
  </w:style>
  <w:style w:type="paragraph" w:styleId="Prrafodelista">
    <w:name w:val="List Paragraph"/>
    <w:basedOn w:val="Normal"/>
    <w:uiPriority w:val="34"/>
    <w:qFormat/>
    <w:rsid w:val="00E13E6B"/>
    <w:pPr>
      <w:ind w:left="720"/>
      <w:contextualSpacing/>
    </w:pPr>
    <w:rPr>
      <w:rFonts w:eastAsia="Times New Roman"/>
      <w:sz w:val="20"/>
      <w:szCs w:val="20"/>
      <w:lang w:eastAsia="es-PE"/>
    </w:rPr>
  </w:style>
  <w:style w:type="paragraph" w:styleId="Sangradetextonormal">
    <w:name w:val="Body Text Indent"/>
    <w:basedOn w:val="Normal"/>
    <w:link w:val="SangradetextonormalCar"/>
    <w:unhideWhenUsed/>
    <w:rsid w:val="00E13E6B"/>
    <w:pPr>
      <w:spacing w:after="120"/>
      <w:ind w:left="283"/>
    </w:pPr>
    <w:rPr>
      <w:rFonts w:eastAsia="Times New Roman"/>
    </w:rPr>
  </w:style>
  <w:style w:type="character" w:customStyle="1" w:styleId="SangradetextonormalCar">
    <w:name w:val="Sangría de texto normal Car"/>
    <w:basedOn w:val="Fuentedeprrafopredeter"/>
    <w:link w:val="Sangradetextonormal"/>
    <w:rsid w:val="00E13E6B"/>
    <w:rPr>
      <w:rFonts w:ascii="Times New Roman" w:eastAsia="Times New Roman" w:hAnsi="Times New Roman" w:cs="Times New Roman"/>
      <w:sz w:val="24"/>
      <w:szCs w:val="24"/>
      <w:lang w:eastAsia="es-ES"/>
    </w:rPr>
  </w:style>
  <w:style w:type="paragraph" w:styleId="Textoindependiente2">
    <w:name w:val="Body Text 2"/>
    <w:basedOn w:val="Normal"/>
    <w:link w:val="Textoindependiente2Car"/>
    <w:uiPriority w:val="99"/>
    <w:semiHidden/>
    <w:unhideWhenUsed/>
    <w:rsid w:val="00E13E6B"/>
    <w:pPr>
      <w:spacing w:after="120" w:line="480" w:lineRule="auto"/>
    </w:pPr>
  </w:style>
  <w:style w:type="character" w:customStyle="1" w:styleId="Textoindependiente2Car">
    <w:name w:val="Texto independiente 2 Car"/>
    <w:basedOn w:val="Fuentedeprrafopredeter"/>
    <w:link w:val="Textoindependiente2"/>
    <w:uiPriority w:val="99"/>
    <w:semiHidden/>
    <w:rsid w:val="00E13E6B"/>
    <w:rPr>
      <w:rFonts w:ascii="Times New Roman" w:eastAsia="Calibri" w:hAnsi="Times New Roman" w:cs="Times New Roman"/>
      <w:sz w:val="24"/>
      <w:szCs w:val="24"/>
      <w:lang w:eastAsia="es-ES"/>
    </w:rPr>
  </w:style>
  <w:style w:type="paragraph" w:styleId="Sinespaciado">
    <w:name w:val="No Spacing"/>
    <w:uiPriority w:val="1"/>
    <w:qFormat/>
    <w:rsid w:val="00F77525"/>
    <w:pPr>
      <w:spacing w:after="0" w:line="240" w:lineRule="auto"/>
    </w:pPr>
    <w:rPr>
      <w:rFonts w:ascii="Calibri" w:eastAsia="Times New Roman" w:hAnsi="Calibri" w:cs="Times New Roman"/>
      <w:lang w:eastAsia="es-ES"/>
    </w:rPr>
  </w:style>
  <w:style w:type="paragraph" w:styleId="HTMLconformatoprevio">
    <w:name w:val="HTML Preformatted"/>
    <w:basedOn w:val="Normal"/>
    <w:link w:val="HTMLconformatoprevioCar"/>
    <w:unhideWhenUsed/>
    <w:rsid w:val="005521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20"/>
      <w:szCs w:val="20"/>
    </w:rPr>
  </w:style>
  <w:style w:type="character" w:customStyle="1" w:styleId="HTMLconformatoprevioCar">
    <w:name w:val="HTML con formato previo Car"/>
    <w:basedOn w:val="Fuentedeprrafopredeter"/>
    <w:link w:val="HTMLconformatoprevio"/>
    <w:rsid w:val="005521E5"/>
    <w:rPr>
      <w:rFonts w:ascii="Courier New" w:eastAsia="Times New Roman" w:hAnsi="Courier New" w:cs="Courier New"/>
      <w:color w:val="000000"/>
      <w:sz w:val="20"/>
      <w:szCs w:val="20"/>
      <w:lang w:eastAsia="es-ES"/>
    </w:rPr>
  </w:style>
  <w:style w:type="table" w:styleId="Tablaconcuadrcula">
    <w:name w:val="Table Grid"/>
    <w:basedOn w:val="Tablanormal"/>
    <w:rsid w:val="00766749"/>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EC4953"/>
    <w:rPr>
      <w:rFonts w:asciiTheme="majorHAnsi" w:eastAsiaTheme="majorEastAsia" w:hAnsiTheme="majorHAnsi" w:cstheme="majorBidi"/>
      <w:b/>
      <w:bCs/>
      <w:color w:val="365F91" w:themeColor="accent1" w:themeShade="BF"/>
      <w:sz w:val="28"/>
      <w:szCs w:val="28"/>
      <w:lang w:eastAsia="es-ES"/>
    </w:rPr>
  </w:style>
  <w:style w:type="character" w:customStyle="1" w:styleId="Ttulo2Car">
    <w:name w:val="Título 2 Car"/>
    <w:basedOn w:val="Fuentedeprrafopredeter"/>
    <w:link w:val="Ttulo2"/>
    <w:uiPriority w:val="9"/>
    <w:rsid w:val="00EC4953"/>
    <w:rPr>
      <w:rFonts w:asciiTheme="majorHAnsi" w:eastAsiaTheme="majorEastAsia" w:hAnsiTheme="majorHAnsi" w:cstheme="majorBidi"/>
      <w:b/>
      <w:bCs/>
      <w:color w:val="4F81BD" w:themeColor="accent1"/>
      <w:sz w:val="26"/>
      <w:szCs w:val="26"/>
      <w:lang w:eastAsia="es-ES"/>
    </w:rPr>
  </w:style>
  <w:style w:type="paragraph" w:styleId="Lista">
    <w:name w:val="List"/>
    <w:basedOn w:val="Normal"/>
    <w:uiPriority w:val="99"/>
    <w:unhideWhenUsed/>
    <w:rsid w:val="00EC4953"/>
    <w:pPr>
      <w:ind w:left="283" w:hanging="283"/>
      <w:contextualSpacing/>
    </w:pPr>
  </w:style>
  <w:style w:type="paragraph" w:styleId="Lista2">
    <w:name w:val="List 2"/>
    <w:basedOn w:val="Normal"/>
    <w:uiPriority w:val="99"/>
    <w:unhideWhenUsed/>
    <w:rsid w:val="00EC4953"/>
    <w:pPr>
      <w:ind w:left="566" w:hanging="283"/>
      <w:contextualSpacing/>
    </w:pPr>
  </w:style>
  <w:style w:type="paragraph" w:styleId="Textoindependienteprimerasangra">
    <w:name w:val="Body Text First Indent"/>
    <w:basedOn w:val="Textoindependiente"/>
    <w:link w:val="TextoindependienteprimerasangraCar"/>
    <w:uiPriority w:val="99"/>
    <w:unhideWhenUsed/>
    <w:rsid w:val="00EC4953"/>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EC4953"/>
  </w:style>
  <w:style w:type="paragraph" w:styleId="Textoindependienteprimerasangra2">
    <w:name w:val="Body Text First Indent 2"/>
    <w:basedOn w:val="Sangradetextonormal"/>
    <w:link w:val="Textoindependienteprimerasangra2Car"/>
    <w:uiPriority w:val="99"/>
    <w:unhideWhenUsed/>
    <w:rsid w:val="00EC4953"/>
    <w:pPr>
      <w:spacing w:after="0"/>
      <w:ind w:left="360" w:firstLine="360"/>
    </w:pPr>
    <w:rPr>
      <w:rFonts w:eastAsia="Calibri"/>
    </w:rPr>
  </w:style>
  <w:style w:type="character" w:customStyle="1" w:styleId="Textoindependienteprimerasangra2Car">
    <w:name w:val="Texto independiente primera sangría 2 Car"/>
    <w:basedOn w:val="SangradetextonormalCar"/>
    <w:link w:val="Textoindependienteprimerasangra2"/>
    <w:uiPriority w:val="99"/>
    <w:rsid w:val="00EC4953"/>
    <w:rPr>
      <w:rFonts w:eastAsia="Calibri"/>
    </w:rPr>
  </w:style>
  <w:style w:type="paragraph" w:styleId="Encabezado">
    <w:name w:val="header"/>
    <w:aliases w:val="maria,h"/>
    <w:basedOn w:val="Normal"/>
    <w:link w:val="EncabezadoCar"/>
    <w:uiPriority w:val="99"/>
    <w:semiHidden/>
    <w:unhideWhenUsed/>
    <w:rsid w:val="00743105"/>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743105"/>
    <w:rPr>
      <w:rFonts w:ascii="Times New Roman" w:eastAsia="Calibri"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422797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10</Pages>
  <Words>3892</Words>
  <Characters>21410</Characters>
  <Application>Microsoft Office Word</Application>
  <DocSecurity>0</DocSecurity>
  <Lines>178</Lines>
  <Paragraphs>50</Paragraphs>
  <ScaleCrop>false</ScaleCrop>
  <Company/>
  <LinksUpToDate>false</LinksUpToDate>
  <CharactersWithSpaces>25252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dc:creator>
  <cp:keywords/>
  <dc:description/>
  <cp:lastModifiedBy>bcaceres</cp:lastModifiedBy>
  <cp:revision>106</cp:revision>
  <cp:lastPrinted>2011-03-17T14:20:00Z</cp:lastPrinted>
  <dcterms:created xsi:type="dcterms:W3CDTF">2010-04-16T12:41:00Z</dcterms:created>
  <dcterms:modified xsi:type="dcterms:W3CDTF">2011-04-07T17:18:00Z</dcterms:modified>
</cp:coreProperties>
</file>